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ED0C" w14:textId="77777777" w:rsidR="00DD011F" w:rsidRDefault="00000000">
      <w:pPr>
        <w:spacing w:line="560" w:lineRule="exact"/>
        <w:jc w:val="left"/>
        <w:rPr>
          <w:rFonts w:ascii="Times New Roman" w:eastAsia="黑体" w:hAnsi="Times New Roman"/>
          <w:sz w:val="28"/>
          <w:szCs w:val="28"/>
        </w:rPr>
      </w:pPr>
      <w:bookmarkStart w:id="0" w:name="OLE_LINK5"/>
      <w:r>
        <w:rPr>
          <w:rFonts w:ascii="Times New Roman" w:eastAsia="黑体" w:hAnsi="Times New Roman" w:hint="eastAsia"/>
          <w:sz w:val="28"/>
          <w:szCs w:val="28"/>
        </w:rPr>
        <w:t>附件</w:t>
      </w:r>
      <w:r>
        <w:rPr>
          <w:rFonts w:ascii="Times New Roman" w:eastAsia="黑体" w:hAnsi="Times New Roman" w:hint="eastAsia"/>
          <w:sz w:val="28"/>
          <w:szCs w:val="28"/>
        </w:rPr>
        <w:t>1</w:t>
      </w:r>
      <w:r>
        <w:rPr>
          <w:rFonts w:ascii="Times New Roman" w:eastAsia="黑体" w:hAnsi="Times New Roman" w:hint="eastAsia"/>
          <w:sz w:val="28"/>
          <w:szCs w:val="28"/>
        </w:rPr>
        <w:t>：</w:t>
      </w:r>
    </w:p>
    <w:p w14:paraId="59F74EED" w14:textId="77777777" w:rsidR="00DD011F" w:rsidRDefault="00000000">
      <w:pPr>
        <w:spacing w:line="560" w:lineRule="exact"/>
        <w:jc w:val="center"/>
        <w:rPr>
          <w:rFonts w:ascii="仿宋" w:eastAsia="仿宋" w:hAnsi="仿宋" w:hint="eastAsia"/>
          <w:b/>
          <w:sz w:val="24"/>
          <w:szCs w:val="18"/>
        </w:rPr>
      </w:pPr>
      <w:bookmarkStart w:id="1" w:name="OLE_LINK6"/>
      <w:bookmarkStart w:id="2" w:name="OLE_LINK7"/>
      <w:r>
        <w:rPr>
          <w:rFonts w:ascii="Times New Roman" w:eastAsia="黑体" w:hAnsi="Times New Roman"/>
          <w:sz w:val="28"/>
          <w:szCs w:val="28"/>
        </w:rPr>
        <w:t>数字化产品</w:t>
      </w:r>
      <w:r>
        <w:rPr>
          <w:rFonts w:ascii="Times New Roman" w:eastAsia="黑体" w:hAnsi="Times New Roman"/>
          <w:sz w:val="28"/>
          <w:szCs w:val="28"/>
        </w:rPr>
        <w:t>/</w:t>
      </w:r>
      <w:r>
        <w:rPr>
          <w:rFonts w:ascii="Times New Roman" w:eastAsia="黑体" w:hAnsi="Times New Roman"/>
          <w:sz w:val="28"/>
          <w:szCs w:val="28"/>
        </w:rPr>
        <w:t>服务清单</w:t>
      </w:r>
    </w:p>
    <w:tbl>
      <w:tblPr>
        <w:tblStyle w:val="tableBorder"/>
        <w:tblW w:w="4591"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0" w:type="dxa"/>
          <w:bottom w:w="17" w:type="dxa"/>
          <w:right w:w="0" w:type="dxa"/>
        </w:tblCellMar>
        <w:tblLook w:val="04A0" w:firstRow="1" w:lastRow="0" w:firstColumn="1" w:lastColumn="0" w:noHBand="0" w:noVBand="1"/>
      </w:tblPr>
      <w:tblGrid>
        <w:gridCol w:w="895"/>
        <w:gridCol w:w="1723"/>
        <w:gridCol w:w="3330"/>
        <w:gridCol w:w="1605"/>
        <w:gridCol w:w="1159"/>
      </w:tblGrid>
      <w:tr w:rsidR="00DD011F" w14:paraId="02670D86" w14:textId="77777777">
        <w:trPr>
          <w:trHeight w:val="560"/>
          <w:jc w:val="center"/>
        </w:trPr>
        <w:tc>
          <w:tcPr>
            <w:tcW w:w="514" w:type="pct"/>
            <w:vMerge w:val="restart"/>
            <w:tcMar>
              <w:top w:w="30" w:type="dxa"/>
              <w:left w:w="22" w:type="dxa"/>
              <w:bottom w:w="22" w:type="dxa"/>
              <w:right w:w="22" w:type="dxa"/>
            </w:tcMar>
            <w:vAlign w:val="center"/>
          </w:tcPr>
          <w:bookmarkEnd w:id="0"/>
          <w:p w14:paraId="16C8241B" w14:textId="77777777" w:rsidR="00DD011F" w:rsidRDefault="00000000">
            <w:pPr>
              <w:widowControl/>
              <w:spacing w:line="560" w:lineRule="exact"/>
              <w:jc w:val="center"/>
              <w:textAlignment w:val="center"/>
              <w:rPr>
                <w:rFonts w:ascii="Times New Roman" w:eastAsia="黑体" w:hAnsi="Times New Roman"/>
                <w:color w:val="000000"/>
                <w:kern w:val="0"/>
                <w:sz w:val="24"/>
              </w:rPr>
            </w:pPr>
            <w:r>
              <w:rPr>
                <w:rFonts w:ascii="Times New Roman" w:eastAsia="黑体" w:hAnsi="Times New Roman"/>
                <w:color w:val="000000"/>
                <w:kern w:val="0"/>
                <w:sz w:val="24"/>
              </w:rPr>
              <w:t>序号</w:t>
            </w:r>
          </w:p>
        </w:tc>
        <w:tc>
          <w:tcPr>
            <w:tcW w:w="989" w:type="pct"/>
            <w:vMerge w:val="restart"/>
            <w:tcMar>
              <w:top w:w="30" w:type="dxa"/>
              <w:left w:w="22" w:type="dxa"/>
              <w:bottom w:w="22" w:type="dxa"/>
              <w:right w:w="22" w:type="dxa"/>
            </w:tcMar>
            <w:vAlign w:val="center"/>
          </w:tcPr>
          <w:p w14:paraId="10D62CE1" w14:textId="77777777" w:rsidR="00DD011F" w:rsidRDefault="00000000">
            <w:pPr>
              <w:widowControl/>
              <w:spacing w:line="560" w:lineRule="exact"/>
              <w:jc w:val="center"/>
              <w:textAlignment w:val="center"/>
              <w:rPr>
                <w:rFonts w:ascii="Times New Roman" w:eastAsia="黑体" w:hAnsi="Times New Roman"/>
                <w:color w:val="000000"/>
                <w:kern w:val="0"/>
                <w:sz w:val="24"/>
              </w:rPr>
            </w:pPr>
            <w:r>
              <w:rPr>
                <w:rFonts w:ascii="Times New Roman" w:eastAsia="黑体" w:hAnsi="Times New Roman"/>
                <w:color w:val="000000"/>
                <w:kern w:val="0"/>
                <w:sz w:val="24"/>
              </w:rPr>
              <w:t>产品</w:t>
            </w:r>
            <w:r>
              <w:rPr>
                <w:rFonts w:ascii="Times New Roman" w:eastAsia="黑体" w:hAnsi="Times New Roman"/>
                <w:color w:val="000000"/>
                <w:kern w:val="0"/>
                <w:sz w:val="24"/>
              </w:rPr>
              <w:t>/</w:t>
            </w:r>
            <w:r>
              <w:rPr>
                <w:rFonts w:ascii="Times New Roman" w:eastAsia="黑体" w:hAnsi="Times New Roman"/>
                <w:color w:val="000000"/>
                <w:kern w:val="0"/>
                <w:sz w:val="24"/>
              </w:rPr>
              <w:t>服务名称</w:t>
            </w:r>
          </w:p>
        </w:tc>
        <w:tc>
          <w:tcPr>
            <w:tcW w:w="1911" w:type="pct"/>
            <w:vMerge w:val="restart"/>
            <w:tcMar>
              <w:top w:w="30" w:type="dxa"/>
              <w:left w:w="22" w:type="dxa"/>
              <w:bottom w:w="22" w:type="dxa"/>
              <w:right w:w="22" w:type="dxa"/>
            </w:tcMar>
            <w:vAlign w:val="center"/>
          </w:tcPr>
          <w:p w14:paraId="65AB46DD" w14:textId="77777777" w:rsidR="00DD011F" w:rsidRDefault="00000000">
            <w:pPr>
              <w:widowControl/>
              <w:spacing w:line="560" w:lineRule="exact"/>
              <w:jc w:val="center"/>
              <w:textAlignment w:val="center"/>
              <w:rPr>
                <w:rFonts w:ascii="Times New Roman" w:eastAsia="黑体" w:hAnsi="Times New Roman"/>
                <w:color w:val="000000"/>
                <w:kern w:val="0"/>
                <w:sz w:val="24"/>
              </w:rPr>
            </w:pPr>
            <w:r>
              <w:rPr>
                <w:rFonts w:ascii="Times New Roman" w:eastAsia="黑体" w:hAnsi="Times New Roman"/>
                <w:color w:val="000000"/>
                <w:kern w:val="0"/>
                <w:sz w:val="24"/>
              </w:rPr>
              <w:t>产品</w:t>
            </w:r>
            <w:r>
              <w:rPr>
                <w:rFonts w:ascii="Times New Roman" w:eastAsia="黑体" w:hAnsi="Times New Roman"/>
                <w:color w:val="000000"/>
                <w:kern w:val="0"/>
                <w:sz w:val="24"/>
              </w:rPr>
              <w:t>/</w:t>
            </w:r>
            <w:r>
              <w:rPr>
                <w:rFonts w:ascii="Times New Roman" w:eastAsia="黑体" w:hAnsi="Times New Roman"/>
                <w:color w:val="000000"/>
                <w:kern w:val="0"/>
                <w:sz w:val="24"/>
              </w:rPr>
              <w:t>服务</w:t>
            </w:r>
          </w:p>
          <w:p w14:paraId="14FFC736" w14:textId="77777777" w:rsidR="00DD011F" w:rsidRDefault="00000000">
            <w:pPr>
              <w:widowControl/>
              <w:spacing w:line="560" w:lineRule="exact"/>
              <w:jc w:val="center"/>
              <w:textAlignment w:val="center"/>
              <w:rPr>
                <w:rFonts w:ascii="Times New Roman" w:eastAsia="黑体" w:hAnsi="Times New Roman"/>
                <w:color w:val="000000"/>
                <w:kern w:val="0"/>
                <w:sz w:val="24"/>
              </w:rPr>
            </w:pPr>
            <w:r>
              <w:rPr>
                <w:rFonts w:ascii="Times New Roman" w:eastAsia="黑体" w:hAnsi="Times New Roman"/>
                <w:color w:val="000000"/>
                <w:kern w:val="0"/>
                <w:sz w:val="24"/>
              </w:rPr>
              <w:t>详情</w:t>
            </w:r>
          </w:p>
        </w:tc>
        <w:tc>
          <w:tcPr>
            <w:tcW w:w="921" w:type="pct"/>
            <w:vMerge w:val="restart"/>
            <w:tcMar>
              <w:top w:w="30" w:type="dxa"/>
              <w:left w:w="22" w:type="dxa"/>
              <w:bottom w:w="22" w:type="dxa"/>
              <w:right w:w="22" w:type="dxa"/>
            </w:tcMar>
            <w:vAlign w:val="center"/>
          </w:tcPr>
          <w:p w14:paraId="03E3BA8A" w14:textId="77777777" w:rsidR="00DD011F" w:rsidRDefault="00000000">
            <w:pPr>
              <w:widowControl/>
              <w:spacing w:line="560" w:lineRule="exact"/>
              <w:jc w:val="center"/>
              <w:textAlignment w:val="center"/>
              <w:rPr>
                <w:rFonts w:ascii="Times New Roman" w:eastAsia="黑体" w:hAnsi="Times New Roman"/>
                <w:color w:val="000000"/>
                <w:kern w:val="0"/>
                <w:sz w:val="24"/>
              </w:rPr>
            </w:pPr>
            <w:r>
              <w:rPr>
                <w:rFonts w:ascii="Times New Roman" w:eastAsia="黑体" w:hAnsi="Times New Roman"/>
                <w:color w:val="000000"/>
                <w:kern w:val="0"/>
                <w:sz w:val="24"/>
              </w:rPr>
              <w:t>产品</w:t>
            </w:r>
            <w:r>
              <w:rPr>
                <w:rFonts w:ascii="Times New Roman" w:eastAsia="黑体" w:hAnsi="Times New Roman"/>
                <w:color w:val="000000"/>
                <w:kern w:val="0"/>
                <w:sz w:val="24"/>
              </w:rPr>
              <w:t>/</w:t>
            </w:r>
            <w:r>
              <w:rPr>
                <w:rFonts w:ascii="Times New Roman" w:eastAsia="黑体" w:hAnsi="Times New Roman"/>
                <w:color w:val="000000"/>
                <w:kern w:val="0"/>
                <w:sz w:val="24"/>
              </w:rPr>
              <w:t>服务提供单位</w:t>
            </w:r>
          </w:p>
        </w:tc>
        <w:tc>
          <w:tcPr>
            <w:tcW w:w="665" w:type="pct"/>
            <w:vMerge w:val="restart"/>
            <w:vAlign w:val="center"/>
          </w:tcPr>
          <w:p w14:paraId="74CA704F" w14:textId="77777777" w:rsidR="00DD011F" w:rsidRDefault="00000000">
            <w:pPr>
              <w:widowControl/>
              <w:spacing w:line="560" w:lineRule="exact"/>
              <w:jc w:val="center"/>
              <w:textAlignment w:val="center"/>
              <w:rPr>
                <w:rFonts w:ascii="Times New Roman" w:eastAsia="黑体" w:hAnsi="Times New Roman"/>
                <w:color w:val="000000"/>
                <w:kern w:val="0"/>
                <w:sz w:val="24"/>
              </w:rPr>
            </w:pPr>
            <w:r>
              <w:rPr>
                <w:rFonts w:ascii="Times New Roman" w:eastAsia="黑体" w:hAnsi="Times New Roman"/>
                <w:color w:val="000000"/>
                <w:kern w:val="0"/>
                <w:sz w:val="24"/>
              </w:rPr>
              <w:t>数量</w:t>
            </w:r>
          </w:p>
        </w:tc>
      </w:tr>
      <w:tr w:rsidR="00DD011F" w14:paraId="3746808D" w14:textId="77777777">
        <w:trPr>
          <w:trHeight w:val="701"/>
          <w:jc w:val="center"/>
        </w:trPr>
        <w:tc>
          <w:tcPr>
            <w:tcW w:w="514" w:type="pct"/>
            <w:vMerge/>
            <w:tcMar>
              <w:top w:w="30" w:type="dxa"/>
              <w:left w:w="22" w:type="dxa"/>
              <w:bottom w:w="22" w:type="dxa"/>
              <w:right w:w="22" w:type="dxa"/>
            </w:tcMar>
            <w:vAlign w:val="center"/>
          </w:tcPr>
          <w:p w14:paraId="554EE330" w14:textId="77777777" w:rsidR="00DD011F" w:rsidRDefault="00DD011F">
            <w:pPr>
              <w:widowControl/>
              <w:spacing w:line="560" w:lineRule="exact"/>
              <w:jc w:val="center"/>
              <w:textAlignment w:val="center"/>
              <w:rPr>
                <w:rFonts w:ascii="Times New Roman" w:eastAsia="黑体" w:hAnsi="Times New Roman"/>
                <w:kern w:val="0"/>
                <w:sz w:val="22"/>
                <w14:ligatures w14:val="standardContextual"/>
              </w:rPr>
            </w:pPr>
          </w:p>
        </w:tc>
        <w:tc>
          <w:tcPr>
            <w:tcW w:w="989" w:type="pct"/>
            <w:vMerge/>
            <w:tcMar>
              <w:top w:w="30" w:type="dxa"/>
              <w:left w:w="22" w:type="dxa"/>
              <w:bottom w:w="22" w:type="dxa"/>
              <w:right w:w="22" w:type="dxa"/>
            </w:tcMar>
            <w:vAlign w:val="center"/>
          </w:tcPr>
          <w:p w14:paraId="3A4B3FBD" w14:textId="77777777" w:rsidR="00DD011F" w:rsidRDefault="00DD011F">
            <w:pPr>
              <w:widowControl/>
              <w:spacing w:line="560" w:lineRule="exact"/>
              <w:jc w:val="center"/>
              <w:textAlignment w:val="center"/>
              <w:rPr>
                <w:rFonts w:ascii="Times New Roman" w:eastAsia="黑体" w:hAnsi="Times New Roman"/>
                <w:kern w:val="0"/>
                <w:sz w:val="22"/>
                <w14:ligatures w14:val="standardContextual"/>
              </w:rPr>
            </w:pPr>
          </w:p>
        </w:tc>
        <w:tc>
          <w:tcPr>
            <w:tcW w:w="1911" w:type="pct"/>
            <w:vMerge/>
            <w:tcMar>
              <w:top w:w="30" w:type="dxa"/>
              <w:left w:w="22" w:type="dxa"/>
              <w:bottom w:w="22" w:type="dxa"/>
              <w:right w:w="22" w:type="dxa"/>
            </w:tcMar>
            <w:vAlign w:val="center"/>
          </w:tcPr>
          <w:p w14:paraId="16CF7FD9" w14:textId="77777777" w:rsidR="00DD011F" w:rsidRDefault="00DD011F">
            <w:pPr>
              <w:widowControl/>
              <w:spacing w:line="560" w:lineRule="exact"/>
              <w:jc w:val="center"/>
              <w:textAlignment w:val="center"/>
              <w:rPr>
                <w:rFonts w:ascii="Times New Roman" w:eastAsia="黑体" w:hAnsi="Times New Roman"/>
                <w:kern w:val="0"/>
                <w:sz w:val="22"/>
                <w14:ligatures w14:val="standardContextual"/>
              </w:rPr>
            </w:pPr>
          </w:p>
        </w:tc>
        <w:tc>
          <w:tcPr>
            <w:tcW w:w="921" w:type="pct"/>
            <w:vMerge/>
            <w:tcMar>
              <w:top w:w="30" w:type="dxa"/>
              <w:left w:w="22" w:type="dxa"/>
              <w:bottom w:w="22" w:type="dxa"/>
              <w:right w:w="22" w:type="dxa"/>
            </w:tcMar>
            <w:vAlign w:val="center"/>
          </w:tcPr>
          <w:p w14:paraId="7362F3BC" w14:textId="77777777" w:rsidR="00DD011F" w:rsidRDefault="00DD011F">
            <w:pPr>
              <w:widowControl/>
              <w:spacing w:line="560" w:lineRule="exact"/>
              <w:jc w:val="center"/>
              <w:textAlignment w:val="center"/>
              <w:rPr>
                <w:rFonts w:ascii="Times New Roman" w:eastAsia="黑体" w:hAnsi="Times New Roman"/>
                <w:kern w:val="0"/>
                <w:sz w:val="22"/>
                <w14:ligatures w14:val="standardContextual"/>
              </w:rPr>
            </w:pPr>
          </w:p>
        </w:tc>
        <w:tc>
          <w:tcPr>
            <w:tcW w:w="665" w:type="pct"/>
            <w:vMerge/>
            <w:vAlign w:val="center"/>
          </w:tcPr>
          <w:p w14:paraId="76847E66" w14:textId="77777777" w:rsidR="00DD011F" w:rsidRDefault="00DD011F">
            <w:pPr>
              <w:widowControl/>
              <w:spacing w:line="560" w:lineRule="exact"/>
              <w:jc w:val="center"/>
              <w:textAlignment w:val="center"/>
              <w:rPr>
                <w:rFonts w:ascii="Times New Roman" w:eastAsia="黑体" w:hAnsi="Times New Roman"/>
                <w:kern w:val="0"/>
                <w:sz w:val="22"/>
                <w14:ligatures w14:val="standardContextual"/>
              </w:rPr>
            </w:pPr>
          </w:p>
        </w:tc>
      </w:tr>
      <w:tr w:rsidR="00DD011F" w14:paraId="3A22585F" w14:textId="77777777">
        <w:trPr>
          <w:trHeight w:val="1727"/>
          <w:jc w:val="center"/>
        </w:trPr>
        <w:tc>
          <w:tcPr>
            <w:tcW w:w="514" w:type="pct"/>
            <w:tcMar>
              <w:top w:w="22" w:type="dxa"/>
              <w:left w:w="22" w:type="dxa"/>
              <w:bottom w:w="22" w:type="dxa"/>
              <w:right w:w="22" w:type="dxa"/>
            </w:tcMar>
            <w:vAlign w:val="center"/>
          </w:tcPr>
          <w:p w14:paraId="0CC8D47E" w14:textId="77777777" w:rsidR="00DD011F" w:rsidRDefault="00000000">
            <w:pPr>
              <w:widowControl/>
              <w:spacing w:line="560" w:lineRule="exact"/>
              <w:jc w:val="center"/>
              <w:textAlignment w:val="center"/>
              <w:rPr>
                <w:rFonts w:ascii="黑体" w:eastAsia="黑体" w:hAnsi="黑体" w:hint="eastAsia"/>
                <w:color w:val="000000"/>
                <w:kern w:val="0"/>
                <w:szCs w:val="21"/>
              </w:rPr>
            </w:pPr>
            <w:bookmarkStart w:id="3" w:name="OLE_LINK2"/>
            <w:bookmarkStart w:id="4" w:name="_Hlk207899015"/>
            <w:bookmarkStart w:id="5" w:name="_Hlk207899031"/>
            <w:r>
              <w:rPr>
                <w:rFonts w:ascii="黑体" w:eastAsia="黑体" w:hAnsi="黑体"/>
                <w:color w:val="000000"/>
                <w:kern w:val="0"/>
                <w:szCs w:val="21"/>
              </w:rPr>
              <w:t>1</w:t>
            </w:r>
          </w:p>
        </w:tc>
        <w:tc>
          <w:tcPr>
            <w:tcW w:w="989" w:type="pct"/>
            <w:tcMar>
              <w:top w:w="22" w:type="dxa"/>
              <w:left w:w="22" w:type="dxa"/>
              <w:bottom w:w="22" w:type="dxa"/>
              <w:right w:w="22" w:type="dxa"/>
            </w:tcMar>
            <w:vAlign w:val="center"/>
          </w:tcPr>
          <w:p w14:paraId="35B03587"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动态建模平台</w:t>
            </w:r>
          </w:p>
        </w:tc>
        <w:tc>
          <w:tcPr>
            <w:tcW w:w="1911" w:type="pct"/>
            <w:tcMar>
              <w:top w:w="22" w:type="dxa"/>
              <w:left w:w="22" w:type="dxa"/>
              <w:bottom w:w="22" w:type="dxa"/>
              <w:right w:w="22" w:type="dxa"/>
            </w:tcMar>
            <w:vAlign w:val="center"/>
          </w:tcPr>
          <w:p w14:paraId="11C63ADD"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建模平台包含企业结构与管控建模、组织建模、流程建模、用户与角色建模，是所有模块使用的底座</w:t>
            </w:r>
          </w:p>
        </w:tc>
        <w:tc>
          <w:tcPr>
            <w:tcW w:w="921" w:type="pct"/>
            <w:tcMar>
              <w:top w:w="22" w:type="dxa"/>
              <w:left w:w="22" w:type="dxa"/>
              <w:bottom w:w="22" w:type="dxa"/>
              <w:right w:w="22" w:type="dxa"/>
            </w:tcMar>
            <w:vAlign w:val="center"/>
          </w:tcPr>
          <w:p w14:paraId="7AAA7E27" w14:textId="77777777" w:rsidR="00DD011F" w:rsidRDefault="00000000">
            <w:pPr>
              <w:widowControl/>
              <w:spacing w:line="560" w:lineRule="exact"/>
              <w:jc w:val="center"/>
              <w:textAlignment w:val="center"/>
              <w:rPr>
                <w:rFonts w:ascii="黑体" w:eastAsia="黑体" w:hAnsi="黑体" w:hint="eastAsia"/>
                <w:color w:val="000000"/>
                <w:kern w:val="0"/>
                <w:szCs w:val="21"/>
              </w:rPr>
            </w:pPr>
            <w:bookmarkStart w:id="6" w:name="OLE_LINK3"/>
            <w:bookmarkStart w:id="7" w:name="OLE_LINK9"/>
            <w:r>
              <w:rPr>
                <w:rFonts w:ascii="黑体" w:eastAsia="黑体" w:hAnsi="黑体" w:hint="eastAsia"/>
                <w:color w:val="000000"/>
                <w:kern w:val="0"/>
                <w:szCs w:val="21"/>
              </w:rPr>
              <w:t>用友</w:t>
            </w:r>
            <w:bookmarkEnd w:id="6"/>
            <w:r>
              <w:rPr>
                <w:rFonts w:ascii="黑体" w:eastAsia="黑体" w:hAnsi="黑体" w:hint="eastAsia"/>
                <w:color w:val="000000"/>
                <w:kern w:val="0"/>
                <w:szCs w:val="21"/>
              </w:rPr>
              <w:t>网络科技股份有限公司甘肃分公司</w:t>
            </w:r>
            <w:bookmarkEnd w:id="7"/>
          </w:p>
        </w:tc>
        <w:tc>
          <w:tcPr>
            <w:tcW w:w="665" w:type="pct"/>
            <w:vAlign w:val="center"/>
          </w:tcPr>
          <w:p w14:paraId="7812D948"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bookmarkEnd w:id="3"/>
      <w:tr w:rsidR="00DD011F" w14:paraId="7EB367D2" w14:textId="77777777">
        <w:trPr>
          <w:trHeight w:val="1640"/>
          <w:jc w:val="center"/>
        </w:trPr>
        <w:tc>
          <w:tcPr>
            <w:tcW w:w="514" w:type="pct"/>
            <w:tcMar>
              <w:top w:w="22" w:type="dxa"/>
              <w:left w:w="22" w:type="dxa"/>
              <w:bottom w:w="22" w:type="dxa"/>
              <w:right w:w="22" w:type="dxa"/>
            </w:tcMar>
            <w:vAlign w:val="center"/>
          </w:tcPr>
          <w:p w14:paraId="7469FA31"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2</w:t>
            </w:r>
          </w:p>
        </w:tc>
        <w:tc>
          <w:tcPr>
            <w:tcW w:w="989" w:type="pct"/>
            <w:tcMar>
              <w:top w:w="22" w:type="dxa"/>
              <w:left w:w="22" w:type="dxa"/>
              <w:bottom w:w="22" w:type="dxa"/>
              <w:right w:w="22" w:type="dxa"/>
            </w:tcMar>
            <w:vAlign w:val="center"/>
          </w:tcPr>
          <w:p w14:paraId="502CF846"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报表平台</w:t>
            </w:r>
          </w:p>
        </w:tc>
        <w:tc>
          <w:tcPr>
            <w:tcW w:w="1911" w:type="pct"/>
            <w:tcMar>
              <w:top w:w="22" w:type="dxa"/>
              <w:left w:w="22" w:type="dxa"/>
              <w:bottom w:w="22" w:type="dxa"/>
              <w:right w:w="22" w:type="dxa"/>
            </w:tcMar>
            <w:vAlign w:val="center"/>
          </w:tcPr>
          <w:p w14:paraId="251382FA"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满足企业及业务部门报表数据分析方面的综合要求，支持个性化报表开发设计</w:t>
            </w:r>
          </w:p>
        </w:tc>
        <w:tc>
          <w:tcPr>
            <w:tcW w:w="921" w:type="pct"/>
            <w:tcMar>
              <w:top w:w="22" w:type="dxa"/>
              <w:left w:w="22" w:type="dxa"/>
              <w:bottom w:w="22" w:type="dxa"/>
              <w:right w:w="22" w:type="dxa"/>
            </w:tcMar>
            <w:vAlign w:val="center"/>
          </w:tcPr>
          <w:p w14:paraId="7DDFE148"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0D6768EC"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7F130E41" w14:textId="77777777">
        <w:trPr>
          <w:trHeight w:val="3114"/>
          <w:jc w:val="center"/>
        </w:trPr>
        <w:tc>
          <w:tcPr>
            <w:tcW w:w="514" w:type="pct"/>
            <w:tcMar>
              <w:top w:w="22" w:type="dxa"/>
              <w:left w:w="22" w:type="dxa"/>
              <w:bottom w:w="22" w:type="dxa"/>
              <w:right w:w="22" w:type="dxa"/>
            </w:tcMar>
            <w:vAlign w:val="center"/>
          </w:tcPr>
          <w:p w14:paraId="36667AED"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3</w:t>
            </w:r>
          </w:p>
        </w:tc>
        <w:tc>
          <w:tcPr>
            <w:tcW w:w="989" w:type="pct"/>
            <w:tcMar>
              <w:top w:w="22" w:type="dxa"/>
              <w:left w:w="22" w:type="dxa"/>
              <w:bottom w:w="22" w:type="dxa"/>
              <w:right w:w="22" w:type="dxa"/>
            </w:tcMar>
            <w:vAlign w:val="center"/>
          </w:tcPr>
          <w:p w14:paraId="07388862"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总账</w:t>
            </w:r>
          </w:p>
        </w:tc>
        <w:tc>
          <w:tcPr>
            <w:tcW w:w="1911" w:type="pct"/>
            <w:tcMar>
              <w:top w:w="22" w:type="dxa"/>
              <w:left w:w="22" w:type="dxa"/>
              <w:bottom w:w="22" w:type="dxa"/>
              <w:right w:w="22" w:type="dxa"/>
            </w:tcMar>
            <w:vAlign w:val="center"/>
          </w:tcPr>
          <w:p w14:paraId="6CFEA080"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总账是财务会计系统的核心，是企业日常基本财务核算工作中常用的凭证管理、往来核销管理、汇兑损益处理、自定义转账、期末处理等。</w:t>
            </w:r>
          </w:p>
        </w:tc>
        <w:tc>
          <w:tcPr>
            <w:tcW w:w="921" w:type="pct"/>
            <w:tcMar>
              <w:top w:w="22" w:type="dxa"/>
              <w:left w:w="22" w:type="dxa"/>
              <w:bottom w:w="22" w:type="dxa"/>
              <w:right w:w="22" w:type="dxa"/>
            </w:tcMar>
            <w:vAlign w:val="center"/>
          </w:tcPr>
          <w:p w14:paraId="4495AA28"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669318CD"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1361AB58" w14:textId="77777777">
        <w:trPr>
          <w:trHeight w:val="2168"/>
          <w:jc w:val="center"/>
        </w:trPr>
        <w:tc>
          <w:tcPr>
            <w:tcW w:w="514" w:type="pct"/>
            <w:tcMar>
              <w:top w:w="22" w:type="dxa"/>
              <w:left w:w="22" w:type="dxa"/>
              <w:bottom w:w="22" w:type="dxa"/>
              <w:right w:w="22" w:type="dxa"/>
            </w:tcMar>
            <w:vAlign w:val="center"/>
          </w:tcPr>
          <w:p w14:paraId="01488E7B"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4</w:t>
            </w:r>
          </w:p>
        </w:tc>
        <w:tc>
          <w:tcPr>
            <w:tcW w:w="989" w:type="pct"/>
            <w:tcMar>
              <w:top w:w="22" w:type="dxa"/>
              <w:left w:w="22" w:type="dxa"/>
              <w:bottom w:w="22" w:type="dxa"/>
              <w:right w:w="22" w:type="dxa"/>
            </w:tcMar>
            <w:vAlign w:val="center"/>
          </w:tcPr>
          <w:p w14:paraId="0D9A5103" w14:textId="77777777" w:rsidR="00DD011F" w:rsidRDefault="00000000">
            <w:pPr>
              <w:widowControl/>
              <w:spacing w:line="560" w:lineRule="exact"/>
              <w:jc w:val="center"/>
              <w:textAlignment w:val="center"/>
              <w:rPr>
                <w:rFonts w:ascii="黑体" w:eastAsia="黑体" w:hAnsi="黑体" w:hint="eastAsia"/>
                <w:color w:val="000000"/>
                <w:kern w:val="0"/>
                <w:szCs w:val="21"/>
              </w:rPr>
            </w:pPr>
            <w:bookmarkStart w:id="8" w:name="OLE_LINK25"/>
            <w:r>
              <w:rPr>
                <w:rFonts w:ascii="黑体" w:eastAsia="黑体" w:hAnsi="黑体" w:hint="eastAsia"/>
                <w:color w:val="000000"/>
                <w:kern w:val="0"/>
                <w:szCs w:val="21"/>
              </w:rPr>
              <w:t>固定资产</w:t>
            </w:r>
            <w:bookmarkEnd w:id="8"/>
          </w:p>
        </w:tc>
        <w:tc>
          <w:tcPr>
            <w:tcW w:w="1911" w:type="pct"/>
            <w:tcMar>
              <w:top w:w="22" w:type="dxa"/>
              <w:left w:w="22" w:type="dxa"/>
              <w:bottom w:w="22" w:type="dxa"/>
              <w:right w:w="22" w:type="dxa"/>
            </w:tcMar>
            <w:vAlign w:val="center"/>
          </w:tcPr>
          <w:p w14:paraId="220425CC"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实现了对固定资产核算业务的支撑，还扩展到对递延资产、无形资产、及使用权资产的管理</w:t>
            </w:r>
          </w:p>
        </w:tc>
        <w:tc>
          <w:tcPr>
            <w:tcW w:w="921" w:type="pct"/>
            <w:tcMar>
              <w:top w:w="22" w:type="dxa"/>
              <w:left w:w="22" w:type="dxa"/>
              <w:bottom w:w="22" w:type="dxa"/>
              <w:right w:w="22" w:type="dxa"/>
            </w:tcMar>
            <w:vAlign w:val="center"/>
          </w:tcPr>
          <w:p w14:paraId="30C2A9D7"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62F7DD22"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61780544" w14:textId="77777777">
        <w:trPr>
          <w:trHeight w:val="2082"/>
          <w:jc w:val="center"/>
        </w:trPr>
        <w:tc>
          <w:tcPr>
            <w:tcW w:w="514" w:type="pct"/>
            <w:tcMar>
              <w:top w:w="22" w:type="dxa"/>
              <w:left w:w="22" w:type="dxa"/>
              <w:bottom w:w="22" w:type="dxa"/>
              <w:right w:w="22" w:type="dxa"/>
            </w:tcMar>
            <w:vAlign w:val="center"/>
          </w:tcPr>
          <w:p w14:paraId="418441FB"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5</w:t>
            </w:r>
          </w:p>
        </w:tc>
        <w:tc>
          <w:tcPr>
            <w:tcW w:w="989" w:type="pct"/>
            <w:tcMar>
              <w:top w:w="22" w:type="dxa"/>
              <w:left w:w="22" w:type="dxa"/>
              <w:bottom w:w="22" w:type="dxa"/>
              <w:right w:w="22" w:type="dxa"/>
            </w:tcMar>
            <w:vAlign w:val="center"/>
          </w:tcPr>
          <w:p w14:paraId="3FB9E657" w14:textId="77777777" w:rsidR="00DD011F" w:rsidRDefault="00000000">
            <w:pPr>
              <w:widowControl/>
              <w:spacing w:line="560" w:lineRule="exact"/>
              <w:jc w:val="center"/>
              <w:textAlignment w:val="center"/>
              <w:rPr>
                <w:rFonts w:ascii="黑体" w:eastAsia="黑体" w:hAnsi="黑体" w:hint="eastAsia"/>
                <w:color w:val="000000"/>
                <w:kern w:val="0"/>
                <w:szCs w:val="21"/>
              </w:rPr>
            </w:pPr>
            <w:bookmarkStart w:id="9" w:name="OLE_LINK27"/>
            <w:r>
              <w:rPr>
                <w:rFonts w:ascii="黑体" w:eastAsia="黑体" w:hAnsi="黑体" w:hint="eastAsia"/>
                <w:color w:val="000000"/>
                <w:kern w:val="0"/>
                <w:szCs w:val="21"/>
              </w:rPr>
              <w:t>应收管理</w:t>
            </w:r>
            <w:bookmarkEnd w:id="9"/>
          </w:p>
        </w:tc>
        <w:tc>
          <w:tcPr>
            <w:tcW w:w="1911" w:type="pct"/>
            <w:tcMar>
              <w:top w:w="22" w:type="dxa"/>
              <w:left w:w="22" w:type="dxa"/>
              <w:bottom w:w="22" w:type="dxa"/>
              <w:right w:w="22" w:type="dxa"/>
            </w:tcMar>
            <w:vAlign w:val="center"/>
          </w:tcPr>
          <w:p w14:paraId="3F38562F"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cs="宋体" w:hint="eastAsia"/>
                <w:color w:val="000000"/>
                <w:kern w:val="0"/>
                <w:szCs w:val="21"/>
              </w:rPr>
              <w:t>实现企业与客户、部门和业务员所形成的应收款、收款业务的管理，为企业提供各种往来款项的处理、核销及相关的查询、统计的功能</w:t>
            </w:r>
          </w:p>
        </w:tc>
        <w:tc>
          <w:tcPr>
            <w:tcW w:w="921" w:type="pct"/>
            <w:tcMar>
              <w:top w:w="22" w:type="dxa"/>
              <w:left w:w="22" w:type="dxa"/>
              <w:bottom w:w="22" w:type="dxa"/>
              <w:right w:w="22" w:type="dxa"/>
            </w:tcMar>
            <w:vAlign w:val="center"/>
          </w:tcPr>
          <w:p w14:paraId="45DD69DE"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6533388E"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2F4A4815" w14:textId="77777777">
        <w:trPr>
          <w:trHeight w:val="2236"/>
          <w:jc w:val="center"/>
        </w:trPr>
        <w:tc>
          <w:tcPr>
            <w:tcW w:w="514" w:type="pct"/>
            <w:tcMar>
              <w:top w:w="22" w:type="dxa"/>
              <w:left w:w="22" w:type="dxa"/>
              <w:bottom w:w="22" w:type="dxa"/>
              <w:right w:w="22" w:type="dxa"/>
            </w:tcMar>
            <w:vAlign w:val="center"/>
          </w:tcPr>
          <w:p w14:paraId="24DBC850"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lastRenderedPageBreak/>
              <w:t>6</w:t>
            </w:r>
          </w:p>
        </w:tc>
        <w:tc>
          <w:tcPr>
            <w:tcW w:w="989" w:type="pct"/>
            <w:tcMar>
              <w:top w:w="22" w:type="dxa"/>
              <w:left w:w="22" w:type="dxa"/>
              <w:bottom w:w="22" w:type="dxa"/>
              <w:right w:w="22" w:type="dxa"/>
            </w:tcMar>
            <w:vAlign w:val="center"/>
          </w:tcPr>
          <w:p w14:paraId="5344FA28" w14:textId="77777777" w:rsidR="00DD011F" w:rsidRDefault="00000000">
            <w:pPr>
              <w:widowControl/>
              <w:spacing w:line="560" w:lineRule="exact"/>
              <w:jc w:val="center"/>
              <w:textAlignment w:val="center"/>
              <w:rPr>
                <w:rFonts w:ascii="黑体" w:eastAsia="黑体" w:hAnsi="黑体" w:hint="eastAsia"/>
                <w:color w:val="000000"/>
                <w:kern w:val="0"/>
                <w:szCs w:val="21"/>
              </w:rPr>
            </w:pPr>
            <w:bookmarkStart w:id="10" w:name="OLE_LINK28"/>
            <w:r>
              <w:rPr>
                <w:rFonts w:ascii="黑体" w:eastAsia="黑体" w:hAnsi="黑体" w:hint="eastAsia"/>
                <w:color w:val="000000"/>
                <w:kern w:val="0"/>
                <w:szCs w:val="21"/>
              </w:rPr>
              <w:t>应付管理</w:t>
            </w:r>
            <w:bookmarkEnd w:id="10"/>
          </w:p>
        </w:tc>
        <w:tc>
          <w:tcPr>
            <w:tcW w:w="1911" w:type="pct"/>
            <w:tcMar>
              <w:top w:w="22" w:type="dxa"/>
              <w:left w:w="22" w:type="dxa"/>
              <w:bottom w:w="22" w:type="dxa"/>
              <w:right w:w="22" w:type="dxa"/>
            </w:tcMar>
            <w:vAlign w:val="center"/>
          </w:tcPr>
          <w:p w14:paraId="133FB575"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实现对企业与供应商、部门或业务员所形成的应付款及付款和预付款业务的管理，同时也支持暂估应付的管理</w:t>
            </w:r>
          </w:p>
        </w:tc>
        <w:tc>
          <w:tcPr>
            <w:tcW w:w="921" w:type="pct"/>
            <w:tcMar>
              <w:top w:w="22" w:type="dxa"/>
              <w:left w:w="22" w:type="dxa"/>
              <w:bottom w:w="22" w:type="dxa"/>
              <w:right w:w="22" w:type="dxa"/>
            </w:tcMar>
            <w:vAlign w:val="center"/>
          </w:tcPr>
          <w:p w14:paraId="2DA634F6"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3B70C21D"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06BE30E3" w14:textId="77777777">
        <w:trPr>
          <w:trHeight w:val="2027"/>
          <w:jc w:val="center"/>
        </w:trPr>
        <w:tc>
          <w:tcPr>
            <w:tcW w:w="514" w:type="pct"/>
            <w:tcMar>
              <w:top w:w="22" w:type="dxa"/>
              <w:left w:w="22" w:type="dxa"/>
              <w:bottom w:w="22" w:type="dxa"/>
              <w:right w:w="22" w:type="dxa"/>
            </w:tcMar>
            <w:vAlign w:val="center"/>
          </w:tcPr>
          <w:p w14:paraId="1CFE261D"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7</w:t>
            </w:r>
          </w:p>
        </w:tc>
        <w:tc>
          <w:tcPr>
            <w:tcW w:w="989" w:type="pct"/>
            <w:tcMar>
              <w:top w:w="22" w:type="dxa"/>
              <w:left w:w="22" w:type="dxa"/>
              <w:bottom w:w="22" w:type="dxa"/>
              <w:right w:w="22" w:type="dxa"/>
            </w:tcMar>
            <w:vAlign w:val="center"/>
          </w:tcPr>
          <w:p w14:paraId="066CAD20" w14:textId="77777777" w:rsidR="00DD011F" w:rsidRDefault="00000000">
            <w:pPr>
              <w:widowControl/>
              <w:spacing w:line="560" w:lineRule="exact"/>
              <w:jc w:val="center"/>
              <w:textAlignment w:val="center"/>
              <w:rPr>
                <w:rFonts w:ascii="黑体" w:eastAsia="黑体" w:hAnsi="黑体" w:hint="eastAsia"/>
                <w:color w:val="000000"/>
                <w:kern w:val="0"/>
                <w:szCs w:val="21"/>
              </w:rPr>
            </w:pPr>
            <w:bookmarkStart w:id="11" w:name="OLE_LINK30"/>
            <w:r>
              <w:rPr>
                <w:rFonts w:ascii="黑体" w:eastAsia="黑体" w:hAnsi="黑体" w:hint="eastAsia"/>
                <w:color w:val="000000"/>
                <w:kern w:val="0"/>
                <w:szCs w:val="21"/>
              </w:rPr>
              <w:t>存货核算</w:t>
            </w:r>
            <w:bookmarkEnd w:id="11"/>
          </w:p>
        </w:tc>
        <w:tc>
          <w:tcPr>
            <w:tcW w:w="1911" w:type="pct"/>
            <w:tcMar>
              <w:top w:w="22" w:type="dxa"/>
              <w:left w:w="22" w:type="dxa"/>
              <w:bottom w:w="22" w:type="dxa"/>
              <w:right w:w="22" w:type="dxa"/>
            </w:tcMar>
            <w:vAlign w:val="center"/>
          </w:tcPr>
          <w:p w14:paraId="7E419250"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对企业存货价值(即成本)的计量，用于企业存货出入库核算，存货出入. 库凭证处理，核算报表查询，期初期末处理。</w:t>
            </w:r>
          </w:p>
        </w:tc>
        <w:tc>
          <w:tcPr>
            <w:tcW w:w="921" w:type="pct"/>
            <w:tcMar>
              <w:top w:w="22" w:type="dxa"/>
              <w:left w:w="22" w:type="dxa"/>
              <w:bottom w:w="22" w:type="dxa"/>
              <w:right w:w="22" w:type="dxa"/>
            </w:tcMar>
            <w:vAlign w:val="center"/>
          </w:tcPr>
          <w:p w14:paraId="16F5F058"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1FF9CA63"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09575CB4" w14:textId="77777777">
        <w:trPr>
          <w:trHeight w:val="2236"/>
          <w:jc w:val="center"/>
        </w:trPr>
        <w:tc>
          <w:tcPr>
            <w:tcW w:w="514" w:type="pct"/>
            <w:tcMar>
              <w:top w:w="22" w:type="dxa"/>
              <w:left w:w="22" w:type="dxa"/>
              <w:bottom w:w="22" w:type="dxa"/>
              <w:right w:w="22" w:type="dxa"/>
            </w:tcMar>
            <w:vAlign w:val="center"/>
          </w:tcPr>
          <w:p w14:paraId="27A95829"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8</w:t>
            </w:r>
          </w:p>
        </w:tc>
        <w:tc>
          <w:tcPr>
            <w:tcW w:w="989" w:type="pct"/>
            <w:tcMar>
              <w:top w:w="22" w:type="dxa"/>
              <w:left w:w="22" w:type="dxa"/>
              <w:bottom w:w="22" w:type="dxa"/>
              <w:right w:w="22" w:type="dxa"/>
            </w:tcMar>
            <w:vAlign w:val="center"/>
          </w:tcPr>
          <w:p w14:paraId="0A3FC6F0" w14:textId="77777777" w:rsidR="00DD011F" w:rsidRDefault="00000000">
            <w:pPr>
              <w:widowControl/>
              <w:spacing w:line="560" w:lineRule="exact"/>
              <w:ind w:firstLineChars="100" w:firstLine="210"/>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企业报表</w:t>
            </w:r>
          </w:p>
        </w:tc>
        <w:tc>
          <w:tcPr>
            <w:tcW w:w="1911" w:type="pct"/>
            <w:tcMar>
              <w:top w:w="22" w:type="dxa"/>
              <w:left w:w="22" w:type="dxa"/>
              <w:bottom w:w="22" w:type="dxa"/>
              <w:right w:w="22" w:type="dxa"/>
            </w:tcMar>
            <w:vAlign w:val="center"/>
          </w:tcPr>
          <w:p w14:paraId="2A34D6F5"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企业报表为大型集团企业的各类财务报表和内部管理报表的应用提供了分析及上报。</w:t>
            </w:r>
          </w:p>
        </w:tc>
        <w:tc>
          <w:tcPr>
            <w:tcW w:w="921" w:type="pct"/>
            <w:tcMar>
              <w:top w:w="22" w:type="dxa"/>
              <w:left w:w="22" w:type="dxa"/>
              <w:bottom w:w="22" w:type="dxa"/>
              <w:right w:w="22" w:type="dxa"/>
            </w:tcMar>
            <w:vAlign w:val="center"/>
          </w:tcPr>
          <w:p w14:paraId="20F4E8A8"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457D8F29"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0436FED9" w14:textId="77777777">
        <w:trPr>
          <w:trHeight w:val="2236"/>
          <w:jc w:val="center"/>
        </w:trPr>
        <w:tc>
          <w:tcPr>
            <w:tcW w:w="514" w:type="pct"/>
            <w:tcMar>
              <w:top w:w="22" w:type="dxa"/>
              <w:left w:w="22" w:type="dxa"/>
              <w:bottom w:w="22" w:type="dxa"/>
              <w:right w:w="22" w:type="dxa"/>
            </w:tcMar>
            <w:vAlign w:val="center"/>
          </w:tcPr>
          <w:p w14:paraId="33E78739"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9</w:t>
            </w:r>
          </w:p>
        </w:tc>
        <w:tc>
          <w:tcPr>
            <w:tcW w:w="989" w:type="pct"/>
            <w:tcMar>
              <w:top w:w="22" w:type="dxa"/>
              <w:left w:w="22" w:type="dxa"/>
              <w:bottom w:w="22" w:type="dxa"/>
              <w:right w:w="22" w:type="dxa"/>
            </w:tcMar>
            <w:vAlign w:val="center"/>
          </w:tcPr>
          <w:p w14:paraId="374A48D3"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合并报表</w:t>
            </w:r>
          </w:p>
        </w:tc>
        <w:tc>
          <w:tcPr>
            <w:tcW w:w="1911" w:type="pct"/>
            <w:tcMar>
              <w:top w:w="22" w:type="dxa"/>
              <w:left w:w="22" w:type="dxa"/>
              <w:bottom w:w="22" w:type="dxa"/>
              <w:right w:w="22" w:type="dxa"/>
            </w:tcMar>
            <w:vAlign w:val="center"/>
          </w:tcPr>
          <w:p w14:paraId="02CE9AC6"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按集团股权结构进行合并，支持支持多时间维度生成月、季、年的合并报表，合并抵销、实现集团内部往来和交易数据的对账及与自动抵销等，自动完成合并生成合并报表、合并抵销明细表及工作底稿。</w:t>
            </w:r>
          </w:p>
        </w:tc>
        <w:tc>
          <w:tcPr>
            <w:tcW w:w="921" w:type="pct"/>
            <w:tcMar>
              <w:top w:w="22" w:type="dxa"/>
              <w:left w:w="22" w:type="dxa"/>
              <w:bottom w:w="22" w:type="dxa"/>
              <w:right w:w="22" w:type="dxa"/>
            </w:tcMar>
            <w:vAlign w:val="center"/>
          </w:tcPr>
          <w:p w14:paraId="0CC1A457"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076A1B47"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31B0B7DB" w14:textId="77777777">
        <w:trPr>
          <w:trHeight w:val="1389"/>
          <w:jc w:val="center"/>
        </w:trPr>
        <w:tc>
          <w:tcPr>
            <w:tcW w:w="514" w:type="pct"/>
            <w:tcMar>
              <w:top w:w="22" w:type="dxa"/>
              <w:left w:w="22" w:type="dxa"/>
              <w:bottom w:w="22" w:type="dxa"/>
              <w:right w:w="22" w:type="dxa"/>
            </w:tcMar>
            <w:vAlign w:val="center"/>
          </w:tcPr>
          <w:p w14:paraId="562B3A6E"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10</w:t>
            </w:r>
          </w:p>
        </w:tc>
        <w:tc>
          <w:tcPr>
            <w:tcW w:w="989" w:type="pct"/>
            <w:tcMar>
              <w:top w:w="22" w:type="dxa"/>
              <w:left w:w="22" w:type="dxa"/>
              <w:bottom w:w="22" w:type="dxa"/>
              <w:right w:w="22" w:type="dxa"/>
            </w:tcMar>
            <w:vAlign w:val="center"/>
          </w:tcPr>
          <w:p w14:paraId="67093F3B"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cs="宋体" w:hint="eastAsia"/>
                <w:color w:val="000000"/>
                <w:kern w:val="0"/>
                <w:szCs w:val="21"/>
              </w:rPr>
              <w:t>账户管理</w:t>
            </w:r>
          </w:p>
        </w:tc>
        <w:tc>
          <w:tcPr>
            <w:tcW w:w="1911" w:type="pct"/>
            <w:tcMar>
              <w:top w:w="22" w:type="dxa"/>
              <w:left w:w="22" w:type="dxa"/>
              <w:bottom w:w="22" w:type="dxa"/>
              <w:right w:w="22" w:type="dxa"/>
            </w:tcMar>
            <w:vAlign w:val="center"/>
          </w:tcPr>
          <w:p w14:paraId="2AFB6D2F"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银行账户的开销户管理，成员单位在资金组织的开销户、冻结和解冻管理</w:t>
            </w:r>
          </w:p>
        </w:tc>
        <w:tc>
          <w:tcPr>
            <w:tcW w:w="921" w:type="pct"/>
            <w:tcMar>
              <w:top w:w="22" w:type="dxa"/>
              <w:left w:w="22" w:type="dxa"/>
              <w:bottom w:w="22" w:type="dxa"/>
              <w:right w:w="22" w:type="dxa"/>
            </w:tcMar>
            <w:vAlign w:val="center"/>
          </w:tcPr>
          <w:p w14:paraId="18FA3186"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030B0B05"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71AB4F31" w14:textId="77777777">
        <w:trPr>
          <w:trHeight w:val="1389"/>
          <w:jc w:val="center"/>
        </w:trPr>
        <w:tc>
          <w:tcPr>
            <w:tcW w:w="514" w:type="pct"/>
            <w:tcMar>
              <w:top w:w="22" w:type="dxa"/>
              <w:left w:w="22" w:type="dxa"/>
              <w:bottom w:w="22" w:type="dxa"/>
              <w:right w:w="22" w:type="dxa"/>
            </w:tcMar>
            <w:vAlign w:val="center"/>
          </w:tcPr>
          <w:p w14:paraId="5E86E6CF"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11</w:t>
            </w:r>
          </w:p>
        </w:tc>
        <w:tc>
          <w:tcPr>
            <w:tcW w:w="989" w:type="pct"/>
            <w:tcMar>
              <w:top w:w="22" w:type="dxa"/>
              <w:left w:w="22" w:type="dxa"/>
              <w:bottom w:w="22" w:type="dxa"/>
              <w:right w:w="22" w:type="dxa"/>
            </w:tcMar>
            <w:vAlign w:val="center"/>
          </w:tcPr>
          <w:p w14:paraId="39FE0CCD"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全面预算</w:t>
            </w:r>
          </w:p>
        </w:tc>
        <w:tc>
          <w:tcPr>
            <w:tcW w:w="1911" w:type="pct"/>
            <w:tcMar>
              <w:top w:w="22" w:type="dxa"/>
              <w:left w:w="22" w:type="dxa"/>
              <w:bottom w:w="22" w:type="dxa"/>
              <w:right w:w="22" w:type="dxa"/>
            </w:tcMar>
            <w:vAlign w:val="center"/>
          </w:tcPr>
          <w:p w14:paraId="46CE8A24"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满足企业集团管控的应用要求，提供了完善的企业预算管理解决方案，包括：预算目标下达、各级预</w:t>
            </w:r>
            <w:r>
              <w:rPr>
                <w:rFonts w:ascii="黑体" w:eastAsia="黑体" w:hAnsi="黑体" w:cs="宋体" w:hint="eastAsia"/>
                <w:color w:val="000000"/>
                <w:kern w:val="0"/>
                <w:szCs w:val="21"/>
              </w:rPr>
              <w:lastRenderedPageBreak/>
              <w:t>算主体的预算数据录入、上报和审批、预算调整、预算合并、执行监控、数据多版本管理和预算分析等。</w:t>
            </w:r>
          </w:p>
        </w:tc>
        <w:tc>
          <w:tcPr>
            <w:tcW w:w="921" w:type="pct"/>
            <w:tcMar>
              <w:top w:w="22" w:type="dxa"/>
              <w:left w:w="22" w:type="dxa"/>
              <w:bottom w:w="22" w:type="dxa"/>
              <w:right w:w="22" w:type="dxa"/>
            </w:tcMar>
            <w:vAlign w:val="center"/>
          </w:tcPr>
          <w:p w14:paraId="55A5F945"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lastRenderedPageBreak/>
              <w:t>用友网络科技股份有限公司甘肃分公司</w:t>
            </w:r>
          </w:p>
        </w:tc>
        <w:tc>
          <w:tcPr>
            <w:tcW w:w="665" w:type="pct"/>
            <w:vAlign w:val="center"/>
          </w:tcPr>
          <w:p w14:paraId="1320EC37"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452E168F" w14:textId="77777777">
        <w:trPr>
          <w:trHeight w:val="1389"/>
          <w:jc w:val="center"/>
        </w:trPr>
        <w:tc>
          <w:tcPr>
            <w:tcW w:w="514" w:type="pct"/>
            <w:tcMar>
              <w:top w:w="22" w:type="dxa"/>
              <w:left w:w="22" w:type="dxa"/>
              <w:bottom w:w="22" w:type="dxa"/>
              <w:right w:w="22" w:type="dxa"/>
            </w:tcMar>
            <w:vAlign w:val="center"/>
          </w:tcPr>
          <w:p w14:paraId="0ABAEDD3"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12</w:t>
            </w:r>
          </w:p>
        </w:tc>
        <w:tc>
          <w:tcPr>
            <w:tcW w:w="989" w:type="pct"/>
            <w:tcMar>
              <w:top w:w="22" w:type="dxa"/>
              <w:left w:w="22" w:type="dxa"/>
              <w:bottom w:w="22" w:type="dxa"/>
              <w:right w:w="22" w:type="dxa"/>
            </w:tcMar>
            <w:vAlign w:val="center"/>
          </w:tcPr>
          <w:p w14:paraId="61754F69"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现金管理</w:t>
            </w:r>
          </w:p>
        </w:tc>
        <w:tc>
          <w:tcPr>
            <w:tcW w:w="1911" w:type="pct"/>
            <w:tcMar>
              <w:top w:w="22" w:type="dxa"/>
              <w:left w:w="22" w:type="dxa"/>
              <w:bottom w:w="22" w:type="dxa"/>
              <w:right w:w="22" w:type="dxa"/>
            </w:tcMar>
            <w:vAlign w:val="center"/>
          </w:tcPr>
          <w:p w14:paraId="56A9F5FD"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企业的对外收付款、划账、结汇购汇、银行到账通知、银行对账等业务。</w:t>
            </w:r>
          </w:p>
        </w:tc>
        <w:tc>
          <w:tcPr>
            <w:tcW w:w="921" w:type="pct"/>
            <w:tcMar>
              <w:top w:w="22" w:type="dxa"/>
              <w:left w:w="22" w:type="dxa"/>
              <w:bottom w:w="22" w:type="dxa"/>
              <w:right w:w="22" w:type="dxa"/>
            </w:tcMar>
            <w:vAlign w:val="center"/>
          </w:tcPr>
          <w:p w14:paraId="3DE5EF9C"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1BA41CFD"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142F27AF" w14:textId="77777777">
        <w:trPr>
          <w:trHeight w:val="1389"/>
          <w:jc w:val="center"/>
        </w:trPr>
        <w:tc>
          <w:tcPr>
            <w:tcW w:w="514" w:type="pct"/>
            <w:tcMar>
              <w:top w:w="22" w:type="dxa"/>
              <w:left w:w="22" w:type="dxa"/>
              <w:bottom w:w="22" w:type="dxa"/>
              <w:right w:w="22" w:type="dxa"/>
            </w:tcMar>
            <w:vAlign w:val="center"/>
          </w:tcPr>
          <w:p w14:paraId="5EF3702A"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13</w:t>
            </w:r>
          </w:p>
        </w:tc>
        <w:tc>
          <w:tcPr>
            <w:tcW w:w="989" w:type="pct"/>
            <w:tcMar>
              <w:top w:w="22" w:type="dxa"/>
              <w:left w:w="22" w:type="dxa"/>
              <w:bottom w:w="22" w:type="dxa"/>
              <w:right w:w="22" w:type="dxa"/>
            </w:tcMar>
            <w:vAlign w:val="center"/>
          </w:tcPr>
          <w:p w14:paraId="5D76D819"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结算平台</w:t>
            </w:r>
          </w:p>
        </w:tc>
        <w:tc>
          <w:tcPr>
            <w:tcW w:w="1911" w:type="pct"/>
            <w:tcMar>
              <w:top w:w="22" w:type="dxa"/>
              <w:left w:w="22" w:type="dxa"/>
              <w:bottom w:w="22" w:type="dxa"/>
              <w:right w:w="22" w:type="dxa"/>
            </w:tcMar>
            <w:vAlign w:val="center"/>
          </w:tcPr>
          <w:p w14:paraId="7CCCB624"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企业的收付款结算进行管理，支持费用、应收应付现金管理业务的结算处理。</w:t>
            </w:r>
          </w:p>
        </w:tc>
        <w:tc>
          <w:tcPr>
            <w:tcW w:w="921" w:type="pct"/>
            <w:tcMar>
              <w:top w:w="22" w:type="dxa"/>
              <w:left w:w="22" w:type="dxa"/>
              <w:bottom w:w="22" w:type="dxa"/>
              <w:right w:w="22" w:type="dxa"/>
            </w:tcMar>
            <w:vAlign w:val="center"/>
          </w:tcPr>
          <w:p w14:paraId="42AC83AA"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49EF62CD"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69AA7F28" w14:textId="77777777">
        <w:trPr>
          <w:trHeight w:val="1389"/>
          <w:jc w:val="center"/>
        </w:trPr>
        <w:tc>
          <w:tcPr>
            <w:tcW w:w="514" w:type="pct"/>
            <w:tcMar>
              <w:top w:w="22" w:type="dxa"/>
              <w:left w:w="22" w:type="dxa"/>
              <w:bottom w:w="22" w:type="dxa"/>
              <w:right w:w="22" w:type="dxa"/>
            </w:tcMar>
            <w:vAlign w:val="center"/>
          </w:tcPr>
          <w:p w14:paraId="2330EFCB"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14</w:t>
            </w:r>
          </w:p>
        </w:tc>
        <w:tc>
          <w:tcPr>
            <w:tcW w:w="989" w:type="pct"/>
            <w:tcMar>
              <w:top w:w="22" w:type="dxa"/>
              <w:left w:w="22" w:type="dxa"/>
              <w:bottom w:w="22" w:type="dxa"/>
              <w:right w:w="22" w:type="dxa"/>
            </w:tcMar>
            <w:vAlign w:val="center"/>
          </w:tcPr>
          <w:p w14:paraId="6C2AF9D3"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成本管理</w:t>
            </w:r>
          </w:p>
        </w:tc>
        <w:tc>
          <w:tcPr>
            <w:tcW w:w="1911" w:type="pct"/>
            <w:tcMar>
              <w:top w:w="22" w:type="dxa"/>
              <w:left w:w="22" w:type="dxa"/>
              <w:bottom w:w="22" w:type="dxa"/>
              <w:right w:w="22" w:type="dxa"/>
            </w:tcMar>
            <w:vAlign w:val="center"/>
          </w:tcPr>
          <w:p w14:paraId="72EB476B"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支持生产制造企业、工厂按照灵活的成本核算方式进行成本核算（按月进行成本核算）</w:t>
            </w:r>
          </w:p>
        </w:tc>
        <w:tc>
          <w:tcPr>
            <w:tcW w:w="921" w:type="pct"/>
            <w:tcMar>
              <w:top w:w="22" w:type="dxa"/>
              <w:left w:w="22" w:type="dxa"/>
              <w:bottom w:w="22" w:type="dxa"/>
              <w:right w:w="22" w:type="dxa"/>
            </w:tcMar>
            <w:vAlign w:val="center"/>
          </w:tcPr>
          <w:p w14:paraId="3758175C"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25871841"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5E5EE005" w14:textId="77777777">
        <w:trPr>
          <w:trHeight w:val="1389"/>
          <w:jc w:val="center"/>
        </w:trPr>
        <w:tc>
          <w:tcPr>
            <w:tcW w:w="514" w:type="pct"/>
            <w:tcMar>
              <w:top w:w="22" w:type="dxa"/>
              <w:left w:w="22" w:type="dxa"/>
              <w:bottom w:w="22" w:type="dxa"/>
              <w:right w:w="22" w:type="dxa"/>
            </w:tcMar>
            <w:vAlign w:val="center"/>
          </w:tcPr>
          <w:p w14:paraId="2FE41C9E"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15</w:t>
            </w:r>
          </w:p>
        </w:tc>
        <w:tc>
          <w:tcPr>
            <w:tcW w:w="989" w:type="pct"/>
            <w:tcMar>
              <w:top w:w="22" w:type="dxa"/>
              <w:left w:w="22" w:type="dxa"/>
              <w:bottom w:w="22" w:type="dxa"/>
              <w:right w:w="22" w:type="dxa"/>
            </w:tcMar>
            <w:vAlign w:val="center"/>
          </w:tcPr>
          <w:p w14:paraId="0122C8F0"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采购管理</w:t>
            </w:r>
          </w:p>
        </w:tc>
        <w:tc>
          <w:tcPr>
            <w:tcW w:w="1911" w:type="pct"/>
            <w:tcMar>
              <w:top w:w="22" w:type="dxa"/>
              <w:left w:w="22" w:type="dxa"/>
              <w:bottom w:w="22" w:type="dxa"/>
              <w:right w:w="22" w:type="dxa"/>
            </w:tcMar>
            <w:vAlign w:val="center"/>
          </w:tcPr>
          <w:p w14:paraId="03BDD05D"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以采购订单为核心，对采购过程中物流运动的各个环节及状态进行跟踪管理，如从计划、请购、订货、收货、质检、入库、收票、结算等。</w:t>
            </w:r>
          </w:p>
        </w:tc>
        <w:tc>
          <w:tcPr>
            <w:tcW w:w="921" w:type="pct"/>
            <w:tcMar>
              <w:top w:w="22" w:type="dxa"/>
              <w:left w:w="22" w:type="dxa"/>
              <w:bottom w:w="22" w:type="dxa"/>
              <w:right w:w="22" w:type="dxa"/>
            </w:tcMar>
            <w:vAlign w:val="center"/>
          </w:tcPr>
          <w:p w14:paraId="195CEDB9"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706C83FE"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620834F6" w14:textId="77777777">
        <w:trPr>
          <w:trHeight w:val="1389"/>
          <w:jc w:val="center"/>
        </w:trPr>
        <w:tc>
          <w:tcPr>
            <w:tcW w:w="514" w:type="pct"/>
            <w:tcMar>
              <w:top w:w="22" w:type="dxa"/>
              <w:left w:w="22" w:type="dxa"/>
              <w:bottom w:w="22" w:type="dxa"/>
              <w:right w:w="22" w:type="dxa"/>
            </w:tcMar>
            <w:vAlign w:val="center"/>
          </w:tcPr>
          <w:p w14:paraId="78DA188F"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16</w:t>
            </w:r>
          </w:p>
        </w:tc>
        <w:tc>
          <w:tcPr>
            <w:tcW w:w="989" w:type="pct"/>
            <w:tcMar>
              <w:top w:w="22" w:type="dxa"/>
              <w:left w:w="22" w:type="dxa"/>
              <w:bottom w:w="22" w:type="dxa"/>
              <w:right w:w="22" w:type="dxa"/>
            </w:tcMar>
            <w:vAlign w:val="center"/>
          </w:tcPr>
          <w:p w14:paraId="4FEBF2DD"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库存管理</w:t>
            </w:r>
          </w:p>
        </w:tc>
        <w:tc>
          <w:tcPr>
            <w:tcW w:w="1911" w:type="pct"/>
            <w:tcMar>
              <w:top w:w="22" w:type="dxa"/>
              <w:left w:w="22" w:type="dxa"/>
              <w:bottom w:w="22" w:type="dxa"/>
              <w:right w:w="22" w:type="dxa"/>
            </w:tcMar>
            <w:vAlign w:val="center"/>
          </w:tcPr>
          <w:p w14:paraId="0D633A85"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库存管理是供应链的基础模块，与采购管理、销售管理、生产制造、内部交易等模块紧密集成，对物料批次、出入库管理。</w:t>
            </w:r>
          </w:p>
        </w:tc>
        <w:tc>
          <w:tcPr>
            <w:tcW w:w="921" w:type="pct"/>
            <w:tcMar>
              <w:top w:w="22" w:type="dxa"/>
              <w:left w:w="22" w:type="dxa"/>
              <w:bottom w:w="22" w:type="dxa"/>
              <w:right w:w="22" w:type="dxa"/>
            </w:tcMar>
            <w:vAlign w:val="center"/>
          </w:tcPr>
          <w:p w14:paraId="18BA3CAB"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0B663818"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50CBF59D" w14:textId="77777777">
        <w:trPr>
          <w:trHeight w:val="1389"/>
          <w:jc w:val="center"/>
        </w:trPr>
        <w:tc>
          <w:tcPr>
            <w:tcW w:w="514" w:type="pct"/>
            <w:tcMar>
              <w:top w:w="22" w:type="dxa"/>
              <w:left w:w="22" w:type="dxa"/>
              <w:bottom w:w="22" w:type="dxa"/>
              <w:right w:w="22" w:type="dxa"/>
            </w:tcMar>
            <w:vAlign w:val="center"/>
          </w:tcPr>
          <w:p w14:paraId="0DBB4784"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lastRenderedPageBreak/>
              <w:t>17</w:t>
            </w:r>
          </w:p>
        </w:tc>
        <w:tc>
          <w:tcPr>
            <w:tcW w:w="989" w:type="pct"/>
            <w:tcMar>
              <w:top w:w="22" w:type="dxa"/>
              <w:left w:w="22" w:type="dxa"/>
              <w:bottom w:w="22" w:type="dxa"/>
              <w:right w:w="22" w:type="dxa"/>
            </w:tcMar>
            <w:vAlign w:val="center"/>
          </w:tcPr>
          <w:p w14:paraId="12071720"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销售管理</w:t>
            </w:r>
          </w:p>
        </w:tc>
        <w:tc>
          <w:tcPr>
            <w:tcW w:w="1911" w:type="pct"/>
            <w:tcMar>
              <w:top w:w="22" w:type="dxa"/>
              <w:left w:w="22" w:type="dxa"/>
              <w:bottom w:w="22" w:type="dxa"/>
              <w:right w:w="22" w:type="dxa"/>
            </w:tcMar>
            <w:vAlign w:val="center"/>
          </w:tcPr>
          <w:p w14:paraId="17D3C1A0"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按照销售业务流程进行匹配设置销售流程，有销售订单、销售发票、结算等，支持销售类报表查询</w:t>
            </w:r>
          </w:p>
        </w:tc>
        <w:tc>
          <w:tcPr>
            <w:tcW w:w="921" w:type="pct"/>
            <w:tcMar>
              <w:top w:w="22" w:type="dxa"/>
              <w:left w:w="22" w:type="dxa"/>
              <w:bottom w:w="22" w:type="dxa"/>
              <w:right w:w="22" w:type="dxa"/>
            </w:tcMar>
            <w:vAlign w:val="center"/>
          </w:tcPr>
          <w:p w14:paraId="7D1C92DF"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3401E441"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20210D43" w14:textId="77777777">
        <w:trPr>
          <w:trHeight w:val="1389"/>
          <w:jc w:val="center"/>
        </w:trPr>
        <w:tc>
          <w:tcPr>
            <w:tcW w:w="514" w:type="pct"/>
            <w:tcMar>
              <w:top w:w="22" w:type="dxa"/>
              <w:left w:w="22" w:type="dxa"/>
              <w:bottom w:w="22" w:type="dxa"/>
              <w:right w:w="22" w:type="dxa"/>
            </w:tcMar>
            <w:vAlign w:val="center"/>
          </w:tcPr>
          <w:p w14:paraId="672ADAF7"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18</w:t>
            </w:r>
          </w:p>
        </w:tc>
        <w:tc>
          <w:tcPr>
            <w:tcW w:w="989" w:type="pct"/>
            <w:tcMar>
              <w:top w:w="22" w:type="dxa"/>
              <w:left w:w="22" w:type="dxa"/>
              <w:bottom w:w="22" w:type="dxa"/>
              <w:right w:w="22" w:type="dxa"/>
            </w:tcMar>
            <w:vAlign w:val="center"/>
          </w:tcPr>
          <w:p w14:paraId="13DF24B2"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内部交易</w:t>
            </w:r>
          </w:p>
        </w:tc>
        <w:tc>
          <w:tcPr>
            <w:tcW w:w="1911" w:type="pct"/>
            <w:tcMar>
              <w:top w:w="22" w:type="dxa"/>
              <w:left w:w="22" w:type="dxa"/>
              <w:bottom w:w="22" w:type="dxa"/>
              <w:right w:w="22" w:type="dxa"/>
            </w:tcMar>
            <w:vAlign w:val="center"/>
          </w:tcPr>
          <w:p w14:paraId="7133B1D1"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内部企业之间的交易，跨组织调拨、跨组织采购、跨组织销售等功能。</w:t>
            </w:r>
          </w:p>
        </w:tc>
        <w:tc>
          <w:tcPr>
            <w:tcW w:w="921" w:type="pct"/>
            <w:tcMar>
              <w:top w:w="22" w:type="dxa"/>
              <w:left w:w="22" w:type="dxa"/>
              <w:bottom w:w="22" w:type="dxa"/>
              <w:right w:w="22" w:type="dxa"/>
            </w:tcMar>
            <w:vAlign w:val="center"/>
          </w:tcPr>
          <w:p w14:paraId="0D2465B2"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295F517E"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39BE0D94" w14:textId="77777777">
        <w:trPr>
          <w:trHeight w:val="1389"/>
          <w:jc w:val="center"/>
        </w:trPr>
        <w:tc>
          <w:tcPr>
            <w:tcW w:w="514" w:type="pct"/>
            <w:tcMar>
              <w:top w:w="22" w:type="dxa"/>
              <w:left w:w="22" w:type="dxa"/>
              <w:bottom w:w="22" w:type="dxa"/>
              <w:right w:w="22" w:type="dxa"/>
            </w:tcMar>
            <w:vAlign w:val="center"/>
          </w:tcPr>
          <w:p w14:paraId="53D71FAF"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19</w:t>
            </w:r>
          </w:p>
        </w:tc>
        <w:tc>
          <w:tcPr>
            <w:tcW w:w="989" w:type="pct"/>
            <w:tcMar>
              <w:top w:w="22" w:type="dxa"/>
              <w:left w:w="22" w:type="dxa"/>
              <w:bottom w:w="22" w:type="dxa"/>
              <w:right w:w="22" w:type="dxa"/>
            </w:tcMar>
            <w:vAlign w:val="center"/>
          </w:tcPr>
          <w:p w14:paraId="5A98B921"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质量管理</w:t>
            </w:r>
          </w:p>
        </w:tc>
        <w:tc>
          <w:tcPr>
            <w:tcW w:w="1911" w:type="pct"/>
            <w:tcMar>
              <w:top w:w="22" w:type="dxa"/>
              <w:left w:w="22" w:type="dxa"/>
              <w:bottom w:w="22" w:type="dxa"/>
              <w:right w:w="22" w:type="dxa"/>
            </w:tcMar>
            <w:vAlign w:val="center"/>
          </w:tcPr>
          <w:p w14:paraId="3CFC921B"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报检、取样、检验、质检结果反馈、紧急放行、不合格品处理等全过程管理，实现企业对原材料采购、生产完工、在库品、退货品进行质量检验，满足各级管理者与相关控制人员对质量管理的需求和应用。</w:t>
            </w:r>
          </w:p>
        </w:tc>
        <w:tc>
          <w:tcPr>
            <w:tcW w:w="921" w:type="pct"/>
            <w:tcMar>
              <w:top w:w="22" w:type="dxa"/>
              <w:left w:w="22" w:type="dxa"/>
              <w:bottom w:w="22" w:type="dxa"/>
              <w:right w:w="22" w:type="dxa"/>
            </w:tcMar>
            <w:vAlign w:val="center"/>
          </w:tcPr>
          <w:p w14:paraId="314E3A47"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4620A7F3"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53E98A6E" w14:textId="77777777">
        <w:trPr>
          <w:trHeight w:val="677"/>
          <w:jc w:val="center"/>
        </w:trPr>
        <w:tc>
          <w:tcPr>
            <w:tcW w:w="514" w:type="pct"/>
            <w:tcMar>
              <w:top w:w="22" w:type="dxa"/>
              <w:left w:w="22" w:type="dxa"/>
              <w:bottom w:w="22" w:type="dxa"/>
              <w:right w:w="22" w:type="dxa"/>
            </w:tcMar>
            <w:vAlign w:val="center"/>
          </w:tcPr>
          <w:p w14:paraId="6938C2B7"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20</w:t>
            </w:r>
          </w:p>
        </w:tc>
        <w:tc>
          <w:tcPr>
            <w:tcW w:w="989" w:type="pct"/>
            <w:tcMar>
              <w:top w:w="22" w:type="dxa"/>
              <w:left w:w="22" w:type="dxa"/>
              <w:bottom w:w="22" w:type="dxa"/>
              <w:right w:w="22" w:type="dxa"/>
            </w:tcMar>
            <w:vAlign w:val="center"/>
          </w:tcPr>
          <w:p w14:paraId="1DD39EB7"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生产管理-流程生产任务</w:t>
            </w:r>
          </w:p>
        </w:tc>
        <w:tc>
          <w:tcPr>
            <w:tcW w:w="1911" w:type="pct"/>
            <w:tcMar>
              <w:top w:w="22" w:type="dxa"/>
              <w:left w:w="22" w:type="dxa"/>
              <w:bottom w:w="22" w:type="dxa"/>
              <w:right w:w="22" w:type="dxa"/>
            </w:tcMar>
            <w:vAlign w:val="center"/>
          </w:tcPr>
          <w:p w14:paraId="198BA368"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bookmarkStart w:id="12" w:name="OLE_LINK1"/>
            <w:r>
              <w:rPr>
                <w:rFonts w:ascii="黑体" w:eastAsia="黑体" w:hAnsi="黑体" w:cs="宋体" w:hint="eastAsia"/>
                <w:color w:val="000000"/>
                <w:kern w:val="0"/>
                <w:szCs w:val="21"/>
              </w:rPr>
              <w:t>生产任务进行全面管理，以订单为核心，支持流程生产订单维护、投放、领备料、完工报产、生产批次、流程生产工作台、报表</w:t>
            </w:r>
            <w:bookmarkEnd w:id="12"/>
          </w:p>
        </w:tc>
        <w:tc>
          <w:tcPr>
            <w:tcW w:w="921" w:type="pct"/>
            <w:tcMar>
              <w:top w:w="22" w:type="dxa"/>
              <w:left w:w="22" w:type="dxa"/>
              <w:bottom w:w="22" w:type="dxa"/>
              <w:right w:w="22" w:type="dxa"/>
            </w:tcMar>
            <w:vAlign w:val="center"/>
          </w:tcPr>
          <w:p w14:paraId="3C3A038A"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14526FE0"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7F23411E" w14:textId="77777777">
        <w:trPr>
          <w:trHeight w:val="1389"/>
          <w:jc w:val="center"/>
        </w:trPr>
        <w:tc>
          <w:tcPr>
            <w:tcW w:w="514" w:type="pct"/>
            <w:tcMar>
              <w:top w:w="22" w:type="dxa"/>
              <w:left w:w="22" w:type="dxa"/>
              <w:bottom w:w="22" w:type="dxa"/>
              <w:right w:w="22" w:type="dxa"/>
            </w:tcMar>
            <w:vAlign w:val="center"/>
          </w:tcPr>
          <w:p w14:paraId="00812D12"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21</w:t>
            </w:r>
          </w:p>
        </w:tc>
        <w:tc>
          <w:tcPr>
            <w:tcW w:w="989" w:type="pct"/>
            <w:tcMar>
              <w:top w:w="22" w:type="dxa"/>
              <w:left w:w="22" w:type="dxa"/>
              <w:bottom w:w="22" w:type="dxa"/>
              <w:right w:w="22" w:type="dxa"/>
            </w:tcMar>
            <w:vAlign w:val="center"/>
          </w:tcPr>
          <w:p w14:paraId="394EF507"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友费控</w:t>
            </w:r>
          </w:p>
        </w:tc>
        <w:tc>
          <w:tcPr>
            <w:tcW w:w="1911" w:type="pct"/>
            <w:tcMar>
              <w:top w:w="22" w:type="dxa"/>
              <w:left w:w="22" w:type="dxa"/>
              <w:bottom w:w="22" w:type="dxa"/>
              <w:right w:w="22" w:type="dxa"/>
            </w:tcMar>
            <w:vAlign w:val="center"/>
          </w:tcPr>
          <w:p w14:paraId="3551D47E"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财务领域的构成模块，支持全面预算对费用报销的额度控制，也可以实现应收、应付、资金、付款合同单据的移动审批。</w:t>
            </w:r>
          </w:p>
        </w:tc>
        <w:tc>
          <w:tcPr>
            <w:tcW w:w="921" w:type="pct"/>
            <w:tcMar>
              <w:top w:w="22" w:type="dxa"/>
              <w:left w:w="22" w:type="dxa"/>
              <w:bottom w:w="22" w:type="dxa"/>
              <w:right w:w="22" w:type="dxa"/>
            </w:tcMar>
            <w:vAlign w:val="center"/>
          </w:tcPr>
          <w:p w14:paraId="3ADB60C2"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3CF5248C"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1套包含167用户</w:t>
            </w:r>
          </w:p>
        </w:tc>
      </w:tr>
      <w:tr w:rsidR="00DD011F" w14:paraId="7F66EDC9" w14:textId="77777777">
        <w:trPr>
          <w:trHeight w:val="1474"/>
          <w:jc w:val="center"/>
        </w:trPr>
        <w:tc>
          <w:tcPr>
            <w:tcW w:w="514" w:type="pct"/>
            <w:tcMar>
              <w:top w:w="22" w:type="dxa"/>
              <w:left w:w="22" w:type="dxa"/>
              <w:bottom w:w="22" w:type="dxa"/>
              <w:right w:w="22" w:type="dxa"/>
            </w:tcMar>
            <w:vAlign w:val="center"/>
          </w:tcPr>
          <w:p w14:paraId="72EB352C"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22</w:t>
            </w:r>
          </w:p>
        </w:tc>
        <w:tc>
          <w:tcPr>
            <w:tcW w:w="989" w:type="pct"/>
            <w:tcMar>
              <w:top w:w="22" w:type="dxa"/>
              <w:left w:w="22" w:type="dxa"/>
              <w:bottom w:w="22" w:type="dxa"/>
              <w:right w:w="22" w:type="dxa"/>
            </w:tcMar>
            <w:vAlign w:val="center"/>
          </w:tcPr>
          <w:p w14:paraId="30952F5A"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稳件中间件</w:t>
            </w:r>
          </w:p>
        </w:tc>
        <w:tc>
          <w:tcPr>
            <w:tcW w:w="1911" w:type="pct"/>
            <w:tcMar>
              <w:top w:w="22" w:type="dxa"/>
              <w:left w:w="22" w:type="dxa"/>
              <w:bottom w:w="22" w:type="dxa"/>
              <w:right w:w="22" w:type="dxa"/>
            </w:tcMar>
            <w:vAlign w:val="center"/>
          </w:tcPr>
          <w:p w14:paraId="5FFDC71B"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中间件</w:t>
            </w:r>
          </w:p>
        </w:tc>
        <w:tc>
          <w:tcPr>
            <w:tcW w:w="921" w:type="pct"/>
            <w:tcMar>
              <w:top w:w="22" w:type="dxa"/>
              <w:left w:w="22" w:type="dxa"/>
              <w:bottom w:w="22" w:type="dxa"/>
              <w:right w:w="22" w:type="dxa"/>
            </w:tcMar>
            <w:vAlign w:val="center"/>
          </w:tcPr>
          <w:p w14:paraId="5A1831B3"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7E7E2DA3"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51147722" w14:textId="77777777">
        <w:trPr>
          <w:trHeight w:val="1424"/>
          <w:jc w:val="center"/>
        </w:trPr>
        <w:tc>
          <w:tcPr>
            <w:tcW w:w="514" w:type="pct"/>
            <w:tcMar>
              <w:top w:w="22" w:type="dxa"/>
              <w:left w:w="22" w:type="dxa"/>
              <w:bottom w:w="22" w:type="dxa"/>
              <w:right w:w="22" w:type="dxa"/>
            </w:tcMar>
            <w:vAlign w:val="center"/>
          </w:tcPr>
          <w:p w14:paraId="3F2A269D"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lastRenderedPageBreak/>
              <w:t>23</w:t>
            </w:r>
          </w:p>
        </w:tc>
        <w:tc>
          <w:tcPr>
            <w:tcW w:w="989" w:type="pct"/>
            <w:tcMar>
              <w:top w:w="22" w:type="dxa"/>
              <w:left w:w="22" w:type="dxa"/>
              <w:bottom w:w="22" w:type="dxa"/>
              <w:right w:w="22" w:type="dxa"/>
            </w:tcMar>
            <w:vAlign w:val="center"/>
          </w:tcPr>
          <w:p w14:paraId="6382CBF8"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用户许可</w:t>
            </w:r>
          </w:p>
        </w:tc>
        <w:tc>
          <w:tcPr>
            <w:tcW w:w="1911" w:type="pct"/>
            <w:tcMar>
              <w:top w:w="22" w:type="dxa"/>
              <w:left w:w="22" w:type="dxa"/>
              <w:bottom w:w="22" w:type="dxa"/>
              <w:right w:w="22" w:type="dxa"/>
            </w:tcMar>
            <w:vAlign w:val="center"/>
          </w:tcPr>
          <w:p w14:paraId="508F212D"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34用户许可，操作用户</w:t>
            </w:r>
          </w:p>
        </w:tc>
        <w:tc>
          <w:tcPr>
            <w:tcW w:w="921" w:type="pct"/>
            <w:tcMar>
              <w:top w:w="22" w:type="dxa"/>
              <w:left w:w="22" w:type="dxa"/>
              <w:bottom w:w="22" w:type="dxa"/>
              <w:right w:w="22" w:type="dxa"/>
            </w:tcMar>
            <w:vAlign w:val="center"/>
          </w:tcPr>
          <w:p w14:paraId="5A3394C1"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552E9363"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1套包含34用户</w:t>
            </w:r>
          </w:p>
        </w:tc>
      </w:tr>
      <w:tr w:rsidR="00DD011F" w14:paraId="63326A3B" w14:textId="77777777">
        <w:trPr>
          <w:trHeight w:val="1389"/>
          <w:jc w:val="center"/>
        </w:trPr>
        <w:tc>
          <w:tcPr>
            <w:tcW w:w="514" w:type="pct"/>
            <w:tcMar>
              <w:top w:w="22" w:type="dxa"/>
              <w:left w:w="22" w:type="dxa"/>
              <w:bottom w:w="22" w:type="dxa"/>
              <w:right w:w="22" w:type="dxa"/>
            </w:tcMar>
            <w:vAlign w:val="center"/>
          </w:tcPr>
          <w:p w14:paraId="53703274"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24</w:t>
            </w:r>
          </w:p>
        </w:tc>
        <w:tc>
          <w:tcPr>
            <w:tcW w:w="989" w:type="pct"/>
            <w:tcMar>
              <w:top w:w="22" w:type="dxa"/>
              <w:left w:w="22" w:type="dxa"/>
              <w:bottom w:w="22" w:type="dxa"/>
              <w:right w:w="22" w:type="dxa"/>
            </w:tcMar>
            <w:vAlign w:val="center"/>
          </w:tcPr>
          <w:p w14:paraId="0548236A"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SPS厂商软件</w:t>
            </w:r>
          </w:p>
        </w:tc>
        <w:tc>
          <w:tcPr>
            <w:tcW w:w="1911" w:type="pct"/>
            <w:tcMar>
              <w:top w:w="22" w:type="dxa"/>
              <w:left w:w="22" w:type="dxa"/>
              <w:bottom w:w="22" w:type="dxa"/>
              <w:right w:w="22" w:type="dxa"/>
            </w:tcMar>
            <w:vAlign w:val="center"/>
          </w:tcPr>
          <w:p w14:paraId="1F3FCFC5"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软件漏洞补丁更新、系统体检报告、巡检</w:t>
            </w:r>
          </w:p>
        </w:tc>
        <w:tc>
          <w:tcPr>
            <w:tcW w:w="921" w:type="pct"/>
            <w:tcMar>
              <w:top w:w="22" w:type="dxa"/>
              <w:left w:w="22" w:type="dxa"/>
              <w:bottom w:w="22" w:type="dxa"/>
              <w:right w:w="22" w:type="dxa"/>
            </w:tcMar>
            <w:vAlign w:val="center"/>
          </w:tcPr>
          <w:p w14:paraId="4CD202EC"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458FF4A1"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40B448F2" w14:textId="77777777">
        <w:trPr>
          <w:trHeight w:val="1389"/>
          <w:jc w:val="center"/>
        </w:trPr>
        <w:tc>
          <w:tcPr>
            <w:tcW w:w="514" w:type="pct"/>
            <w:tcMar>
              <w:top w:w="22" w:type="dxa"/>
              <w:left w:w="22" w:type="dxa"/>
              <w:bottom w:w="22" w:type="dxa"/>
              <w:right w:w="22" w:type="dxa"/>
            </w:tcMar>
            <w:vAlign w:val="center"/>
          </w:tcPr>
          <w:p w14:paraId="062F47B7"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25</w:t>
            </w:r>
          </w:p>
        </w:tc>
        <w:tc>
          <w:tcPr>
            <w:tcW w:w="989" w:type="pct"/>
            <w:tcMar>
              <w:top w:w="22" w:type="dxa"/>
              <w:left w:w="22" w:type="dxa"/>
              <w:bottom w:w="22" w:type="dxa"/>
              <w:right w:w="22" w:type="dxa"/>
            </w:tcMar>
            <w:vAlign w:val="center"/>
          </w:tcPr>
          <w:p w14:paraId="4A751A06"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移动API网关</w:t>
            </w:r>
          </w:p>
        </w:tc>
        <w:tc>
          <w:tcPr>
            <w:tcW w:w="1911" w:type="pct"/>
            <w:tcMar>
              <w:top w:w="22" w:type="dxa"/>
              <w:left w:w="22" w:type="dxa"/>
              <w:bottom w:w="22" w:type="dxa"/>
              <w:right w:w="22" w:type="dxa"/>
            </w:tcMar>
            <w:vAlign w:val="center"/>
          </w:tcPr>
          <w:p w14:paraId="4046E66F"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如果需要使用高级版的各类移动应用，均需要用到移动网关。</w:t>
            </w:r>
          </w:p>
        </w:tc>
        <w:tc>
          <w:tcPr>
            <w:tcW w:w="921" w:type="pct"/>
            <w:tcMar>
              <w:top w:w="22" w:type="dxa"/>
              <w:left w:w="22" w:type="dxa"/>
              <w:bottom w:w="22" w:type="dxa"/>
              <w:right w:w="22" w:type="dxa"/>
            </w:tcMar>
            <w:vAlign w:val="center"/>
          </w:tcPr>
          <w:p w14:paraId="2D49649D"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6C6903F9"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1年订阅</w:t>
            </w:r>
          </w:p>
        </w:tc>
      </w:tr>
      <w:tr w:rsidR="00DD011F" w14:paraId="6E345D6A" w14:textId="77777777">
        <w:trPr>
          <w:trHeight w:val="1389"/>
          <w:jc w:val="center"/>
        </w:trPr>
        <w:tc>
          <w:tcPr>
            <w:tcW w:w="514" w:type="pct"/>
            <w:tcMar>
              <w:top w:w="22" w:type="dxa"/>
              <w:left w:w="22" w:type="dxa"/>
              <w:bottom w:w="22" w:type="dxa"/>
              <w:right w:w="22" w:type="dxa"/>
            </w:tcMar>
            <w:vAlign w:val="center"/>
          </w:tcPr>
          <w:p w14:paraId="00380D0C"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26</w:t>
            </w:r>
          </w:p>
        </w:tc>
        <w:tc>
          <w:tcPr>
            <w:tcW w:w="989" w:type="pct"/>
            <w:tcMar>
              <w:top w:w="22" w:type="dxa"/>
              <w:left w:w="22" w:type="dxa"/>
              <w:bottom w:w="22" w:type="dxa"/>
              <w:right w:w="22" w:type="dxa"/>
            </w:tcMar>
            <w:vAlign w:val="center"/>
          </w:tcPr>
          <w:p w14:paraId="1737B326"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办公-移动审批</w:t>
            </w:r>
          </w:p>
        </w:tc>
        <w:tc>
          <w:tcPr>
            <w:tcW w:w="1911" w:type="pct"/>
            <w:tcMar>
              <w:top w:w="22" w:type="dxa"/>
              <w:left w:w="22" w:type="dxa"/>
              <w:bottom w:w="22" w:type="dxa"/>
              <w:right w:w="22" w:type="dxa"/>
            </w:tcMar>
            <w:vAlign w:val="center"/>
          </w:tcPr>
          <w:p w14:paraId="6B30439A"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提供在友空间移动端便捷处理各类待办业务消息审批能力，支持按待办、已办状态进行审批详情查看。</w:t>
            </w:r>
          </w:p>
        </w:tc>
        <w:tc>
          <w:tcPr>
            <w:tcW w:w="921" w:type="pct"/>
            <w:tcMar>
              <w:top w:w="22" w:type="dxa"/>
              <w:left w:w="22" w:type="dxa"/>
              <w:bottom w:w="22" w:type="dxa"/>
              <w:right w:w="22" w:type="dxa"/>
            </w:tcMar>
            <w:vAlign w:val="center"/>
          </w:tcPr>
          <w:p w14:paraId="49B69FF8"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1E7A4CB1"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1年订阅包含34用户</w:t>
            </w:r>
          </w:p>
        </w:tc>
      </w:tr>
      <w:tr w:rsidR="00DD011F" w14:paraId="69893CA8" w14:textId="77777777">
        <w:trPr>
          <w:trHeight w:val="1389"/>
          <w:jc w:val="center"/>
        </w:trPr>
        <w:tc>
          <w:tcPr>
            <w:tcW w:w="514" w:type="pct"/>
            <w:tcMar>
              <w:top w:w="22" w:type="dxa"/>
              <w:left w:w="22" w:type="dxa"/>
              <w:bottom w:w="22" w:type="dxa"/>
              <w:right w:w="22" w:type="dxa"/>
            </w:tcMar>
            <w:vAlign w:val="center"/>
          </w:tcPr>
          <w:p w14:paraId="5477A6A3"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27</w:t>
            </w:r>
          </w:p>
        </w:tc>
        <w:tc>
          <w:tcPr>
            <w:tcW w:w="989" w:type="pct"/>
            <w:tcMar>
              <w:top w:w="22" w:type="dxa"/>
              <w:left w:w="22" w:type="dxa"/>
              <w:bottom w:w="22" w:type="dxa"/>
              <w:right w:w="22" w:type="dxa"/>
            </w:tcMar>
            <w:vAlign w:val="center"/>
          </w:tcPr>
          <w:p w14:paraId="17F3FC62"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办公-移动销售</w:t>
            </w:r>
          </w:p>
        </w:tc>
        <w:tc>
          <w:tcPr>
            <w:tcW w:w="1911" w:type="pct"/>
            <w:tcMar>
              <w:top w:w="22" w:type="dxa"/>
              <w:left w:w="22" w:type="dxa"/>
              <w:bottom w:w="22" w:type="dxa"/>
              <w:right w:w="22" w:type="dxa"/>
            </w:tcMar>
            <w:vAlign w:val="center"/>
          </w:tcPr>
          <w:p w14:paraId="779127C1"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支持销售员在移动端进行报价、下单，订单执行等数据的查询。</w:t>
            </w:r>
          </w:p>
        </w:tc>
        <w:tc>
          <w:tcPr>
            <w:tcW w:w="921" w:type="pct"/>
            <w:tcMar>
              <w:top w:w="22" w:type="dxa"/>
              <w:left w:w="22" w:type="dxa"/>
              <w:bottom w:w="22" w:type="dxa"/>
              <w:right w:w="22" w:type="dxa"/>
            </w:tcMar>
            <w:vAlign w:val="center"/>
          </w:tcPr>
          <w:p w14:paraId="30E24E34"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1CC720F9"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1年订阅包含8用户</w:t>
            </w:r>
          </w:p>
          <w:p w14:paraId="6C76EC98" w14:textId="77777777" w:rsidR="00DD011F" w:rsidRDefault="00DD011F">
            <w:pPr>
              <w:pStyle w:val="2"/>
              <w:spacing w:line="560" w:lineRule="exact"/>
              <w:jc w:val="center"/>
              <w:rPr>
                <w:rFonts w:ascii="黑体" w:eastAsia="黑体" w:hAnsi="黑体" w:hint="eastAsia"/>
                <w:kern w:val="0"/>
              </w:rPr>
            </w:pPr>
          </w:p>
        </w:tc>
      </w:tr>
      <w:tr w:rsidR="00DD011F" w14:paraId="1B55A667" w14:textId="77777777">
        <w:trPr>
          <w:trHeight w:val="961"/>
          <w:jc w:val="center"/>
        </w:trPr>
        <w:tc>
          <w:tcPr>
            <w:tcW w:w="514" w:type="pct"/>
            <w:tcMar>
              <w:top w:w="22" w:type="dxa"/>
              <w:left w:w="22" w:type="dxa"/>
              <w:bottom w:w="22" w:type="dxa"/>
              <w:right w:w="22" w:type="dxa"/>
            </w:tcMar>
            <w:vAlign w:val="center"/>
          </w:tcPr>
          <w:p w14:paraId="76212E87"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28</w:t>
            </w:r>
          </w:p>
        </w:tc>
        <w:tc>
          <w:tcPr>
            <w:tcW w:w="989" w:type="pct"/>
            <w:tcMar>
              <w:top w:w="22" w:type="dxa"/>
              <w:left w:w="22" w:type="dxa"/>
              <w:bottom w:w="22" w:type="dxa"/>
              <w:right w:w="22" w:type="dxa"/>
            </w:tcMar>
            <w:vAlign w:val="center"/>
          </w:tcPr>
          <w:p w14:paraId="30CCBB6F"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仓储管理</w:t>
            </w:r>
          </w:p>
        </w:tc>
        <w:tc>
          <w:tcPr>
            <w:tcW w:w="1911" w:type="pct"/>
            <w:tcMar>
              <w:top w:w="22" w:type="dxa"/>
              <w:left w:w="22" w:type="dxa"/>
              <w:bottom w:w="22" w:type="dxa"/>
              <w:right w:w="22" w:type="dxa"/>
            </w:tcMar>
            <w:vAlign w:val="center"/>
          </w:tcPr>
          <w:p w14:paraId="4AA2AE4C"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可视化仓库示意图，通过条码扫码枪进行货物库出库业务、库存盘点、库存调整、辅助查询、仓库看板</w:t>
            </w:r>
          </w:p>
        </w:tc>
        <w:tc>
          <w:tcPr>
            <w:tcW w:w="921" w:type="pct"/>
            <w:tcMar>
              <w:top w:w="22" w:type="dxa"/>
              <w:left w:w="22" w:type="dxa"/>
              <w:bottom w:w="22" w:type="dxa"/>
              <w:right w:w="22" w:type="dxa"/>
            </w:tcMar>
            <w:vAlign w:val="center"/>
          </w:tcPr>
          <w:p w14:paraId="244F889D"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5F2392FF"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1套包含20用户许可</w:t>
            </w:r>
          </w:p>
        </w:tc>
      </w:tr>
      <w:tr w:rsidR="00DD011F" w14:paraId="33CEFD17" w14:textId="77777777">
        <w:trPr>
          <w:trHeight w:val="1389"/>
          <w:jc w:val="center"/>
        </w:trPr>
        <w:tc>
          <w:tcPr>
            <w:tcW w:w="514" w:type="pct"/>
            <w:tcMar>
              <w:top w:w="22" w:type="dxa"/>
              <w:left w:w="22" w:type="dxa"/>
              <w:bottom w:w="22" w:type="dxa"/>
              <w:right w:w="22" w:type="dxa"/>
            </w:tcMar>
            <w:vAlign w:val="center"/>
          </w:tcPr>
          <w:p w14:paraId="6A87E052"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29</w:t>
            </w:r>
          </w:p>
        </w:tc>
        <w:tc>
          <w:tcPr>
            <w:tcW w:w="989" w:type="pct"/>
            <w:tcMar>
              <w:top w:w="22" w:type="dxa"/>
              <w:left w:w="22" w:type="dxa"/>
              <w:bottom w:w="22" w:type="dxa"/>
              <w:right w:w="22" w:type="dxa"/>
            </w:tcMar>
            <w:vAlign w:val="center"/>
          </w:tcPr>
          <w:p w14:paraId="3AB76379"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资产盘点</w:t>
            </w:r>
          </w:p>
        </w:tc>
        <w:tc>
          <w:tcPr>
            <w:tcW w:w="1911" w:type="pct"/>
            <w:tcMar>
              <w:top w:w="22" w:type="dxa"/>
              <w:left w:w="22" w:type="dxa"/>
              <w:bottom w:w="22" w:type="dxa"/>
              <w:right w:w="22" w:type="dxa"/>
            </w:tcMar>
            <w:vAlign w:val="center"/>
          </w:tcPr>
          <w:p w14:paraId="16233087" w14:textId="77777777" w:rsidR="00DD011F" w:rsidRDefault="00000000">
            <w:pPr>
              <w:widowControl/>
              <w:spacing w:line="560" w:lineRule="exact"/>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固定资产盘点、资产变动、资产查询、设备变动、设备查询</w:t>
            </w:r>
          </w:p>
        </w:tc>
        <w:tc>
          <w:tcPr>
            <w:tcW w:w="921" w:type="pct"/>
            <w:tcMar>
              <w:top w:w="22" w:type="dxa"/>
              <w:left w:w="22" w:type="dxa"/>
              <w:bottom w:w="22" w:type="dxa"/>
              <w:right w:w="22" w:type="dxa"/>
            </w:tcMar>
            <w:vAlign w:val="center"/>
          </w:tcPr>
          <w:p w14:paraId="12AF155E"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2D4D8920"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1套包含4个许可</w:t>
            </w:r>
          </w:p>
        </w:tc>
      </w:tr>
      <w:bookmarkEnd w:id="4"/>
      <w:tr w:rsidR="00DD011F" w14:paraId="39088243" w14:textId="77777777">
        <w:trPr>
          <w:trHeight w:val="1389"/>
          <w:jc w:val="center"/>
        </w:trPr>
        <w:tc>
          <w:tcPr>
            <w:tcW w:w="514" w:type="pct"/>
            <w:tcMar>
              <w:top w:w="22" w:type="dxa"/>
              <w:left w:w="22" w:type="dxa"/>
              <w:bottom w:w="22" w:type="dxa"/>
              <w:right w:w="22" w:type="dxa"/>
            </w:tcMar>
            <w:vAlign w:val="center"/>
          </w:tcPr>
          <w:p w14:paraId="1ADD46E5"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lastRenderedPageBreak/>
              <w:t>30</w:t>
            </w:r>
          </w:p>
        </w:tc>
        <w:tc>
          <w:tcPr>
            <w:tcW w:w="989" w:type="pct"/>
            <w:tcMar>
              <w:top w:w="22" w:type="dxa"/>
              <w:left w:w="22" w:type="dxa"/>
              <w:bottom w:w="22" w:type="dxa"/>
              <w:right w:w="22" w:type="dxa"/>
            </w:tcMar>
            <w:vAlign w:val="center"/>
          </w:tcPr>
          <w:p w14:paraId="0D0721BE" w14:textId="77777777" w:rsidR="00DD011F" w:rsidRDefault="00000000">
            <w:pPr>
              <w:widowControl/>
              <w:spacing w:line="560" w:lineRule="exact"/>
              <w:jc w:val="center"/>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OCR(票据拍照识别)</w:t>
            </w:r>
          </w:p>
        </w:tc>
        <w:tc>
          <w:tcPr>
            <w:tcW w:w="1911" w:type="pct"/>
            <w:tcMar>
              <w:top w:w="22" w:type="dxa"/>
              <w:left w:w="22" w:type="dxa"/>
              <w:bottom w:w="22" w:type="dxa"/>
              <w:right w:w="22" w:type="dxa"/>
            </w:tcMar>
            <w:vAlign w:val="center"/>
          </w:tcPr>
          <w:p w14:paraId="36131D71" w14:textId="77777777" w:rsidR="00DD011F" w:rsidRDefault="00000000">
            <w:pPr>
              <w:widowControl/>
              <w:spacing w:line="560" w:lineRule="exact"/>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发票识别</w:t>
            </w:r>
          </w:p>
        </w:tc>
        <w:tc>
          <w:tcPr>
            <w:tcW w:w="921" w:type="pct"/>
            <w:tcMar>
              <w:top w:w="22" w:type="dxa"/>
              <w:left w:w="22" w:type="dxa"/>
              <w:bottom w:w="22" w:type="dxa"/>
              <w:right w:w="22" w:type="dxa"/>
            </w:tcMar>
            <w:vAlign w:val="center"/>
          </w:tcPr>
          <w:p w14:paraId="5A681D2A"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666DE7DE"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color w:val="000000"/>
                <w:kern w:val="0"/>
                <w:szCs w:val="21"/>
              </w:rPr>
              <w:t>50000</w:t>
            </w:r>
            <w:r>
              <w:rPr>
                <w:rFonts w:ascii="黑体" w:eastAsia="黑体" w:hAnsi="黑体" w:hint="eastAsia"/>
                <w:color w:val="000000"/>
                <w:kern w:val="0"/>
                <w:szCs w:val="21"/>
              </w:rPr>
              <w:t>次</w:t>
            </w:r>
          </w:p>
        </w:tc>
      </w:tr>
      <w:tr w:rsidR="00DD011F" w14:paraId="590C7259" w14:textId="77777777">
        <w:trPr>
          <w:trHeight w:val="1389"/>
          <w:jc w:val="center"/>
        </w:trPr>
        <w:tc>
          <w:tcPr>
            <w:tcW w:w="514" w:type="pct"/>
            <w:tcMar>
              <w:top w:w="22" w:type="dxa"/>
              <w:left w:w="22" w:type="dxa"/>
              <w:bottom w:w="22" w:type="dxa"/>
              <w:right w:w="22" w:type="dxa"/>
            </w:tcMar>
            <w:vAlign w:val="center"/>
          </w:tcPr>
          <w:p w14:paraId="79D1063A"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31</w:t>
            </w:r>
          </w:p>
        </w:tc>
        <w:tc>
          <w:tcPr>
            <w:tcW w:w="989" w:type="pct"/>
            <w:tcMar>
              <w:top w:w="22" w:type="dxa"/>
              <w:left w:w="22" w:type="dxa"/>
              <w:bottom w:w="22" w:type="dxa"/>
              <w:right w:w="22" w:type="dxa"/>
            </w:tcMar>
            <w:vAlign w:val="center"/>
          </w:tcPr>
          <w:p w14:paraId="32532E47" w14:textId="77777777" w:rsidR="00DD011F" w:rsidRDefault="00000000">
            <w:pPr>
              <w:widowControl/>
              <w:spacing w:line="560" w:lineRule="exact"/>
              <w:ind w:firstLineChars="100" w:firstLine="210"/>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税务云</w:t>
            </w:r>
          </w:p>
        </w:tc>
        <w:tc>
          <w:tcPr>
            <w:tcW w:w="1911" w:type="pct"/>
            <w:tcMar>
              <w:top w:w="22" w:type="dxa"/>
              <w:left w:w="22" w:type="dxa"/>
              <w:bottom w:w="22" w:type="dxa"/>
              <w:right w:w="22" w:type="dxa"/>
            </w:tcMar>
            <w:vAlign w:val="center"/>
          </w:tcPr>
          <w:p w14:paraId="5E7FA976" w14:textId="77777777" w:rsidR="00DD011F" w:rsidRDefault="00000000">
            <w:pPr>
              <w:widowControl/>
              <w:spacing w:line="560" w:lineRule="exact"/>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增值税发票验真(含纸票、电子发票</w:t>
            </w:r>
          </w:p>
        </w:tc>
        <w:tc>
          <w:tcPr>
            <w:tcW w:w="921" w:type="pct"/>
            <w:tcMar>
              <w:top w:w="22" w:type="dxa"/>
              <w:left w:w="22" w:type="dxa"/>
              <w:bottom w:w="22" w:type="dxa"/>
              <w:right w:w="22" w:type="dxa"/>
            </w:tcMar>
            <w:vAlign w:val="center"/>
          </w:tcPr>
          <w:p w14:paraId="771584A1"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2FDC32B6"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5000</w:t>
            </w:r>
            <w:r>
              <w:rPr>
                <w:rFonts w:ascii="黑体" w:eastAsia="黑体" w:hAnsi="黑体"/>
                <w:color w:val="000000"/>
                <w:kern w:val="0"/>
                <w:szCs w:val="21"/>
              </w:rPr>
              <w:t>0</w:t>
            </w:r>
            <w:r>
              <w:rPr>
                <w:rFonts w:ascii="黑体" w:eastAsia="黑体" w:hAnsi="黑体" w:hint="eastAsia"/>
                <w:color w:val="000000"/>
                <w:kern w:val="0"/>
                <w:szCs w:val="21"/>
              </w:rPr>
              <w:t>次</w:t>
            </w:r>
          </w:p>
        </w:tc>
      </w:tr>
      <w:tr w:rsidR="00DD011F" w14:paraId="0110C393" w14:textId="77777777">
        <w:trPr>
          <w:trHeight w:val="1389"/>
          <w:jc w:val="center"/>
        </w:trPr>
        <w:tc>
          <w:tcPr>
            <w:tcW w:w="514" w:type="pct"/>
            <w:tcMar>
              <w:top w:w="22" w:type="dxa"/>
              <w:left w:w="22" w:type="dxa"/>
              <w:bottom w:w="22" w:type="dxa"/>
              <w:right w:w="22" w:type="dxa"/>
            </w:tcMar>
            <w:vAlign w:val="center"/>
          </w:tcPr>
          <w:p w14:paraId="4F838483"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32</w:t>
            </w:r>
          </w:p>
        </w:tc>
        <w:tc>
          <w:tcPr>
            <w:tcW w:w="989" w:type="pct"/>
            <w:tcMar>
              <w:top w:w="22" w:type="dxa"/>
              <w:left w:w="22" w:type="dxa"/>
              <w:bottom w:w="22" w:type="dxa"/>
              <w:right w:w="22" w:type="dxa"/>
            </w:tcMar>
            <w:vAlign w:val="center"/>
          </w:tcPr>
          <w:p w14:paraId="037F85FC" w14:textId="77777777" w:rsidR="00DD011F" w:rsidRDefault="00000000">
            <w:pPr>
              <w:widowControl/>
              <w:spacing w:line="560" w:lineRule="exact"/>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生产计划</w:t>
            </w:r>
          </w:p>
        </w:tc>
        <w:tc>
          <w:tcPr>
            <w:tcW w:w="1911" w:type="pct"/>
            <w:tcMar>
              <w:top w:w="22" w:type="dxa"/>
              <w:left w:w="22" w:type="dxa"/>
              <w:bottom w:w="22" w:type="dxa"/>
              <w:right w:w="22" w:type="dxa"/>
            </w:tcMar>
            <w:vAlign w:val="center"/>
          </w:tcPr>
          <w:p w14:paraId="4E43D9B5" w14:textId="77777777" w:rsidR="00DD011F" w:rsidRDefault="00000000">
            <w:pPr>
              <w:widowControl/>
              <w:spacing w:line="560" w:lineRule="exact"/>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主生产计划用来确定每一具体的最终产品在每一具体时间段内生产数量</w:t>
            </w:r>
          </w:p>
        </w:tc>
        <w:tc>
          <w:tcPr>
            <w:tcW w:w="921" w:type="pct"/>
            <w:tcMar>
              <w:top w:w="22" w:type="dxa"/>
              <w:left w:w="22" w:type="dxa"/>
              <w:bottom w:w="22" w:type="dxa"/>
              <w:right w:w="22" w:type="dxa"/>
            </w:tcMar>
            <w:vAlign w:val="center"/>
          </w:tcPr>
          <w:p w14:paraId="1C03C155" w14:textId="77777777" w:rsidR="00DD011F" w:rsidRDefault="00000000">
            <w:pPr>
              <w:widowControl/>
              <w:spacing w:line="560" w:lineRule="exact"/>
              <w:jc w:val="center"/>
              <w:textAlignment w:val="center"/>
              <w:rPr>
                <w:rFonts w:ascii="黑体" w:eastAsia="黑体" w:hAnsi="黑体" w:hint="eastAsia"/>
                <w:color w:val="000000"/>
                <w:kern w:val="0"/>
                <w:szCs w:val="21"/>
              </w:rPr>
            </w:pPr>
            <w:bookmarkStart w:id="13" w:name="OLE_LINK4"/>
            <w:r>
              <w:rPr>
                <w:rFonts w:ascii="黑体" w:eastAsia="黑体" w:hAnsi="黑体" w:hint="eastAsia"/>
                <w:color w:val="000000"/>
                <w:kern w:val="0"/>
                <w:szCs w:val="21"/>
              </w:rPr>
              <w:t>用友网络科技股份有限公司甘肃分公司</w:t>
            </w:r>
            <w:bookmarkEnd w:id="13"/>
          </w:p>
        </w:tc>
        <w:tc>
          <w:tcPr>
            <w:tcW w:w="665" w:type="pct"/>
            <w:vAlign w:val="center"/>
          </w:tcPr>
          <w:p w14:paraId="571CA5C8"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6AB178C8" w14:textId="77777777">
        <w:trPr>
          <w:trHeight w:val="1389"/>
          <w:jc w:val="center"/>
        </w:trPr>
        <w:tc>
          <w:tcPr>
            <w:tcW w:w="514" w:type="pct"/>
            <w:tcMar>
              <w:top w:w="22" w:type="dxa"/>
              <w:left w:w="22" w:type="dxa"/>
              <w:bottom w:w="22" w:type="dxa"/>
              <w:right w:w="22" w:type="dxa"/>
            </w:tcMar>
            <w:vAlign w:val="center"/>
          </w:tcPr>
          <w:p w14:paraId="263B4F6B"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33</w:t>
            </w:r>
          </w:p>
        </w:tc>
        <w:tc>
          <w:tcPr>
            <w:tcW w:w="989" w:type="pct"/>
            <w:tcMar>
              <w:top w:w="22" w:type="dxa"/>
              <w:left w:w="22" w:type="dxa"/>
              <w:bottom w:w="22" w:type="dxa"/>
              <w:right w:w="22" w:type="dxa"/>
            </w:tcMar>
            <w:vAlign w:val="center"/>
          </w:tcPr>
          <w:p w14:paraId="4C6287A0" w14:textId="77777777" w:rsidR="00DD011F" w:rsidRDefault="00000000">
            <w:pPr>
              <w:widowControl/>
              <w:spacing w:line="560" w:lineRule="exact"/>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云条码-质量</w:t>
            </w:r>
          </w:p>
        </w:tc>
        <w:tc>
          <w:tcPr>
            <w:tcW w:w="1911" w:type="pct"/>
            <w:tcMar>
              <w:top w:w="22" w:type="dxa"/>
              <w:left w:w="22" w:type="dxa"/>
              <w:bottom w:w="22" w:type="dxa"/>
              <w:right w:w="22" w:type="dxa"/>
            </w:tcMar>
            <w:vAlign w:val="center"/>
          </w:tcPr>
          <w:p w14:paraId="7AF9D119" w14:textId="77777777" w:rsidR="00DD011F" w:rsidRDefault="00000000">
            <w:pPr>
              <w:widowControl/>
              <w:spacing w:line="560" w:lineRule="exact"/>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到货取样、工序取样、完工检</w:t>
            </w:r>
          </w:p>
        </w:tc>
        <w:tc>
          <w:tcPr>
            <w:tcW w:w="921" w:type="pct"/>
            <w:tcMar>
              <w:top w:w="22" w:type="dxa"/>
              <w:left w:w="22" w:type="dxa"/>
              <w:bottom w:w="22" w:type="dxa"/>
              <w:right w:w="22" w:type="dxa"/>
            </w:tcMar>
            <w:vAlign w:val="center"/>
          </w:tcPr>
          <w:p w14:paraId="5CD7B353"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5A07721C"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1套7许可</w:t>
            </w:r>
          </w:p>
        </w:tc>
      </w:tr>
      <w:tr w:rsidR="00DD011F" w14:paraId="279B9078" w14:textId="77777777">
        <w:trPr>
          <w:trHeight w:val="1389"/>
          <w:jc w:val="center"/>
        </w:trPr>
        <w:tc>
          <w:tcPr>
            <w:tcW w:w="514" w:type="pct"/>
            <w:tcMar>
              <w:top w:w="22" w:type="dxa"/>
              <w:left w:w="22" w:type="dxa"/>
              <w:bottom w:w="22" w:type="dxa"/>
              <w:right w:w="22" w:type="dxa"/>
            </w:tcMar>
            <w:vAlign w:val="center"/>
          </w:tcPr>
          <w:p w14:paraId="6ECA2D34"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34</w:t>
            </w:r>
          </w:p>
        </w:tc>
        <w:tc>
          <w:tcPr>
            <w:tcW w:w="989" w:type="pct"/>
            <w:tcMar>
              <w:top w:w="22" w:type="dxa"/>
              <w:left w:w="22" w:type="dxa"/>
              <w:bottom w:w="22" w:type="dxa"/>
              <w:right w:w="22" w:type="dxa"/>
            </w:tcMar>
            <w:vAlign w:val="center"/>
          </w:tcPr>
          <w:p w14:paraId="5D350944" w14:textId="77777777" w:rsidR="00DD011F" w:rsidRDefault="00000000">
            <w:pPr>
              <w:widowControl/>
              <w:spacing w:line="560" w:lineRule="exact"/>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云条码-车间</w:t>
            </w:r>
          </w:p>
        </w:tc>
        <w:tc>
          <w:tcPr>
            <w:tcW w:w="1911" w:type="pct"/>
            <w:tcMar>
              <w:top w:w="22" w:type="dxa"/>
              <w:left w:w="22" w:type="dxa"/>
              <w:bottom w:w="22" w:type="dxa"/>
              <w:right w:w="22" w:type="dxa"/>
            </w:tcMar>
            <w:vAlign w:val="center"/>
          </w:tcPr>
          <w:p w14:paraId="56B16CC3" w14:textId="77777777" w:rsidR="00DD011F" w:rsidRDefault="00000000">
            <w:pPr>
              <w:widowControl/>
              <w:spacing w:line="560" w:lineRule="exact"/>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工序派工、工序报工、上料校验</w:t>
            </w:r>
          </w:p>
        </w:tc>
        <w:tc>
          <w:tcPr>
            <w:tcW w:w="921" w:type="pct"/>
            <w:tcMar>
              <w:top w:w="22" w:type="dxa"/>
              <w:left w:w="22" w:type="dxa"/>
              <w:bottom w:w="22" w:type="dxa"/>
              <w:right w:w="22" w:type="dxa"/>
            </w:tcMar>
            <w:vAlign w:val="center"/>
          </w:tcPr>
          <w:p w14:paraId="6FA666BA" w14:textId="77777777" w:rsidR="00DD011F" w:rsidRDefault="00000000">
            <w:pPr>
              <w:widowControl/>
              <w:spacing w:line="560" w:lineRule="exact"/>
              <w:jc w:val="center"/>
              <w:textAlignment w:val="center"/>
              <w:rPr>
                <w:rFonts w:ascii="黑体" w:eastAsia="黑体" w:hAnsi="黑体" w:hint="eastAsia"/>
                <w:color w:val="000000"/>
                <w:kern w:val="0"/>
                <w:szCs w:val="21"/>
              </w:rPr>
            </w:pPr>
            <w:bookmarkStart w:id="14" w:name="OLE_LINK8"/>
            <w:r>
              <w:rPr>
                <w:rFonts w:ascii="黑体" w:eastAsia="黑体" w:hAnsi="黑体" w:hint="eastAsia"/>
                <w:color w:val="000000"/>
                <w:kern w:val="0"/>
                <w:szCs w:val="21"/>
              </w:rPr>
              <w:t>用友网络科技股份有限公司甘肃分公司</w:t>
            </w:r>
            <w:bookmarkEnd w:id="14"/>
          </w:p>
        </w:tc>
        <w:tc>
          <w:tcPr>
            <w:tcW w:w="665" w:type="pct"/>
            <w:vAlign w:val="center"/>
          </w:tcPr>
          <w:p w14:paraId="5DBFF15E"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1套7许可</w:t>
            </w:r>
          </w:p>
        </w:tc>
      </w:tr>
      <w:tr w:rsidR="00DD011F" w14:paraId="557728D9" w14:textId="77777777">
        <w:trPr>
          <w:trHeight w:val="1389"/>
          <w:jc w:val="center"/>
        </w:trPr>
        <w:tc>
          <w:tcPr>
            <w:tcW w:w="514" w:type="pct"/>
            <w:tcMar>
              <w:top w:w="22" w:type="dxa"/>
              <w:left w:w="22" w:type="dxa"/>
              <w:bottom w:w="22" w:type="dxa"/>
              <w:right w:w="22" w:type="dxa"/>
            </w:tcMar>
            <w:vAlign w:val="center"/>
          </w:tcPr>
          <w:p w14:paraId="183DCD91"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35</w:t>
            </w:r>
          </w:p>
        </w:tc>
        <w:tc>
          <w:tcPr>
            <w:tcW w:w="989" w:type="pct"/>
            <w:tcMar>
              <w:top w:w="22" w:type="dxa"/>
              <w:left w:w="22" w:type="dxa"/>
              <w:bottom w:w="22" w:type="dxa"/>
              <w:right w:w="22" w:type="dxa"/>
            </w:tcMar>
            <w:vAlign w:val="center"/>
          </w:tcPr>
          <w:p w14:paraId="1603EE7F" w14:textId="77777777" w:rsidR="00DD011F" w:rsidRDefault="00000000">
            <w:pPr>
              <w:widowControl/>
              <w:spacing w:line="560" w:lineRule="exact"/>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RFID特性</w:t>
            </w:r>
          </w:p>
        </w:tc>
        <w:tc>
          <w:tcPr>
            <w:tcW w:w="1911" w:type="pct"/>
            <w:tcMar>
              <w:top w:w="22" w:type="dxa"/>
              <w:left w:w="22" w:type="dxa"/>
              <w:bottom w:w="22" w:type="dxa"/>
              <w:right w:w="22" w:type="dxa"/>
            </w:tcMar>
            <w:vAlign w:val="center"/>
          </w:tcPr>
          <w:p w14:paraId="2FE1482B" w14:textId="77777777" w:rsidR="00DD011F" w:rsidRDefault="00000000">
            <w:pPr>
              <w:widowControl/>
              <w:spacing w:line="560" w:lineRule="exact"/>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RFID资产查询，资产盘点、RFID写卡</w:t>
            </w:r>
          </w:p>
        </w:tc>
        <w:tc>
          <w:tcPr>
            <w:tcW w:w="921" w:type="pct"/>
            <w:tcMar>
              <w:top w:w="22" w:type="dxa"/>
              <w:left w:w="22" w:type="dxa"/>
              <w:bottom w:w="22" w:type="dxa"/>
              <w:right w:w="22" w:type="dxa"/>
            </w:tcMar>
            <w:vAlign w:val="center"/>
          </w:tcPr>
          <w:p w14:paraId="709A5EC7"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6D32EB3B"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tr w:rsidR="00DD011F" w14:paraId="006E0A73" w14:textId="77777777">
        <w:trPr>
          <w:trHeight w:val="1389"/>
          <w:jc w:val="center"/>
        </w:trPr>
        <w:tc>
          <w:tcPr>
            <w:tcW w:w="514" w:type="pct"/>
            <w:tcMar>
              <w:top w:w="22" w:type="dxa"/>
              <w:left w:w="22" w:type="dxa"/>
              <w:bottom w:w="22" w:type="dxa"/>
              <w:right w:w="22" w:type="dxa"/>
            </w:tcMar>
            <w:vAlign w:val="center"/>
          </w:tcPr>
          <w:p w14:paraId="1FAFE208"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36</w:t>
            </w:r>
          </w:p>
        </w:tc>
        <w:tc>
          <w:tcPr>
            <w:tcW w:w="989" w:type="pct"/>
            <w:tcMar>
              <w:top w:w="22" w:type="dxa"/>
              <w:left w:w="22" w:type="dxa"/>
              <w:bottom w:w="22" w:type="dxa"/>
              <w:right w:w="22" w:type="dxa"/>
            </w:tcMar>
            <w:vAlign w:val="center"/>
          </w:tcPr>
          <w:p w14:paraId="397F22DA" w14:textId="77777777" w:rsidR="00DD011F" w:rsidRDefault="00000000">
            <w:pPr>
              <w:widowControl/>
              <w:spacing w:line="560" w:lineRule="exact"/>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看板管理</w:t>
            </w:r>
          </w:p>
        </w:tc>
        <w:tc>
          <w:tcPr>
            <w:tcW w:w="1911" w:type="pct"/>
            <w:tcMar>
              <w:top w:w="22" w:type="dxa"/>
              <w:left w:w="22" w:type="dxa"/>
              <w:bottom w:w="22" w:type="dxa"/>
              <w:right w:w="22" w:type="dxa"/>
            </w:tcMar>
            <w:vAlign w:val="center"/>
          </w:tcPr>
          <w:p w14:paraId="5D68C5C8" w14:textId="77777777" w:rsidR="00DD011F" w:rsidRDefault="00000000">
            <w:pPr>
              <w:widowControl/>
              <w:spacing w:line="560" w:lineRule="exact"/>
              <w:textAlignment w:val="center"/>
              <w:rPr>
                <w:rFonts w:ascii="黑体" w:eastAsia="黑体" w:hAnsi="黑体" w:cs="宋体" w:hint="eastAsia"/>
                <w:color w:val="000000"/>
                <w:kern w:val="0"/>
                <w:szCs w:val="21"/>
              </w:rPr>
            </w:pPr>
            <w:r>
              <w:rPr>
                <w:rFonts w:ascii="黑体" w:eastAsia="黑体" w:hAnsi="黑体" w:cs="宋体" w:hint="eastAsia"/>
                <w:color w:val="000000"/>
                <w:kern w:val="0"/>
                <w:szCs w:val="21"/>
              </w:rPr>
              <w:t>仓库看板</w:t>
            </w:r>
          </w:p>
        </w:tc>
        <w:tc>
          <w:tcPr>
            <w:tcW w:w="921" w:type="pct"/>
            <w:tcMar>
              <w:top w:w="22" w:type="dxa"/>
              <w:left w:w="22" w:type="dxa"/>
              <w:bottom w:w="22" w:type="dxa"/>
              <w:right w:w="22" w:type="dxa"/>
            </w:tcMar>
            <w:vAlign w:val="center"/>
          </w:tcPr>
          <w:p w14:paraId="17787987"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用友网络科技股份有限公司甘肃分公司</w:t>
            </w:r>
          </w:p>
        </w:tc>
        <w:tc>
          <w:tcPr>
            <w:tcW w:w="665" w:type="pct"/>
            <w:vAlign w:val="center"/>
          </w:tcPr>
          <w:p w14:paraId="03DAEACA" w14:textId="77777777" w:rsidR="00DD011F" w:rsidRDefault="00000000">
            <w:pPr>
              <w:widowControl/>
              <w:spacing w:line="560" w:lineRule="exact"/>
              <w:jc w:val="center"/>
              <w:textAlignment w:val="center"/>
              <w:rPr>
                <w:rFonts w:ascii="黑体" w:eastAsia="黑体" w:hAnsi="黑体" w:hint="eastAsia"/>
                <w:color w:val="000000"/>
                <w:kern w:val="0"/>
                <w:szCs w:val="21"/>
              </w:rPr>
            </w:pPr>
            <w:r>
              <w:rPr>
                <w:rFonts w:ascii="黑体" w:eastAsia="黑体" w:hAnsi="黑体" w:hint="eastAsia"/>
                <w:color w:val="000000"/>
                <w:kern w:val="0"/>
                <w:szCs w:val="21"/>
              </w:rPr>
              <w:t>1套</w:t>
            </w:r>
          </w:p>
        </w:tc>
      </w:tr>
      <w:bookmarkEnd w:id="1"/>
      <w:bookmarkEnd w:id="2"/>
      <w:bookmarkEnd w:id="5"/>
    </w:tbl>
    <w:p w14:paraId="3A3D028F" w14:textId="77777777" w:rsidR="00DD011F" w:rsidRDefault="00DD011F">
      <w:pPr>
        <w:pStyle w:val="2"/>
        <w:spacing w:line="560" w:lineRule="exact"/>
        <w:rPr>
          <w:rFonts w:ascii="仿宋_GB2312" w:eastAsia="仿宋_GB2312" w:hAnsi="仿宋_GB2312" w:cs="仿宋_GB2312" w:hint="eastAsia"/>
          <w:sz w:val="32"/>
          <w:szCs w:val="32"/>
        </w:rPr>
      </w:pPr>
    </w:p>
    <w:sectPr w:rsidR="00DD011F">
      <w:pgSz w:w="11906" w:h="16838"/>
      <w:pgMar w:top="1417" w:right="1274" w:bottom="141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53D5" w14:textId="77777777" w:rsidR="00EF34EF" w:rsidRDefault="00EF34EF" w:rsidP="00E1037E">
      <w:r>
        <w:separator/>
      </w:r>
    </w:p>
  </w:endnote>
  <w:endnote w:type="continuationSeparator" w:id="0">
    <w:p w14:paraId="420E93CF" w14:textId="77777777" w:rsidR="00EF34EF" w:rsidRDefault="00EF34EF" w:rsidP="00E1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0E1E" w14:textId="77777777" w:rsidR="00EF34EF" w:rsidRDefault="00EF34EF" w:rsidP="00E1037E">
      <w:r>
        <w:separator/>
      </w:r>
    </w:p>
  </w:footnote>
  <w:footnote w:type="continuationSeparator" w:id="0">
    <w:p w14:paraId="4E89578B" w14:textId="77777777" w:rsidR="00EF34EF" w:rsidRDefault="00EF34EF" w:rsidP="00E10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94"/>
    <w:rsid w:val="0001069D"/>
    <w:rsid w:val="00014AB9"/>
    <w:rsid w:val="00030D54"/>
    <w:rsid w:val="000F1C51"/>
    <w:rsid w:val="0011295D"/>
    <w:rsid w:val="00183F52"/>
    <w:rsid w:val="001F4F65"/>
    <w:rsid w:val="002048C1"/>
    <w:rsid w:val="002B538C"/>
    <w:rsid w:val="00300103"/>
    <w:rsid w:val="003033B3"/>
    <w:rsid w:val="00353706"/>
    <w:rsid w:val="00384EB6"/>
    <w:rsid w:val="00386EE8"/>
    <w:rsid w:val="003E2E7F"/>
    <w:rsid w:val="004C60EA"/>
    <w:rsid w:val="006877C7"/>
    <w:rsid w:val="006C7BA7"/>
    <w:rsid w:val="006E33E7"/>
    <w:rsid w:val="007E34D8"/>
    <w:rsid w:val="0092535C"/>
    <w:rsid w:val="00A060D6"/>
    <w:rsid w:val="00A07194"/>
    <w:rsid w:val="00A14525"/>
    <w:rsid w:val="00C136D2"/>
    <w:rsid w:val="00C13EFD"/>
    <w:rsid w:val="00C706B6"/>
    <w:rsid w:val="00D979A8"/>
    <w:rsid w:val="00DD011F"/>
    <w:rsid w:val="00E1037E"/>
    <w:rsid w:val="00E41BE2"/>
    <w:rsid w:val="00EF34EF"/>
    <w:rsid w:val="00F02F2A"/>
    <w:rsid w:val="00FF7707"/>
    <w:rsid w:val="02D250F5"/>
    <w:rsid w:val="047C19F8"/>
    <w:rsid w:val="07BB53AE"/>
    <w:rsid w:val="0DF34C0E"/>
    <w:rsid w:val="0FBE33EA"/>
    <w:rsid w:val="158403E2"/>
    <w:rsid w:val="1BDB458F"/>
    <w:rsid w:val="2207353A"/>
    <w:rsid w:val="231056B1"/>
    <w:rsid w:val="28593241"/>
    <w:rsid w:val="2FFD4C04"/>
    <w:rsid w:val="323D22F3"/>
    <w:rsid w:val="3347179B"/>
    <w:rsid w:val="3D616B23"/>
    <w:rsid w:val="42A67313"/>
    <w:rsid w:val="45B53A84"/>
    <w:rsid w:val="513E6BB0"/>
    <w:rsid w:val="5D722610"/>
    <w:rsid w:val="6B0A241C"/>
    <w:rsid w:val="6E8A3E78"/>
    <w:rsid w:val="71D35C85"/>
    <w:rsid w:val="73131D48"/>
    <w:rsid w:val="74300226"/>
    <w:rsid w:val="746C0590"/>
    <w:rsid w:val="74F615E6"/>
    <w:rsid w:val="786F5C73"/>
    <w:rsid w:val="7F8B6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808E4"/>
  <w15:docId w15:val="{37CD8E20-F115-4B86-9086-42F7B129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Indent" w:semiHidden="1" w:uiPriority="99" w:unhideWhenUsed="1"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rPr>
      <w:rFonts w:ascii="Times New Roman" w:eastAsia="宋体" w:hAnsi="Times New Roman"/>
      <w:i/>
      <w:color w:val="0000FF"/>
      <w:szCs w:val="21"/>
      <w:u w:val="single"/>
    </w:rPr>
  </w:style>
  <w:style w:type="paragraph" w:styleId="a3">
    <w:name w:val="Body Text Indent"/>
    <w:basedOn w:val="a"/>
    <w:uiPriority w:val="99"/>
    <w:semiHidden/>
    <w:unhideWhenUsed/>
    <w:qFormat/>
    <w:pPr>
      <w:spacing w:after="120"/>
      <w:ind w:leftChars="200" w:left="4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pP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Emphasis"/>
    <w:basedOn w:val="a0"/>
    <w:qFormat/>
    <w:rPr>
      <w:i/>
    </w:rPr>
  </w:style>
  <w:style w:type="character" w:styleId="aa">
    <w:name w:val="Hyperlink"/>
    <w:basedOn w:val="a0"/>
    <w:qFormat/>
    <w:rPr>
      <w:color w:val="0000FF"/>
      <w:u w:val="single"/>
    </w:rPr>
  </w:style>
  <w:style w:type="table" w:customStyle="1" w:styleId="tableBorder">
    <w:name w:val="tableBorder"/>
    <w:autoRedefine/>
    <w:qFormat/>
    <w:tblPr>
      <w:tblCellMar>
        <w:top w:w="0" w:type="dxa"/>
        <w:left w:w="108" w:type="dxa"/>
        <w:bottom w:w="0" w:type="dxa"/>
        <w:right w:w="108" w:type="dxa"/>
      </w:tblCellMar>
    </w:tbl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1281</Words>
  <Characters>1358</Characters>
  <Application>Microsoft Office Word</Application>
  <DocSecurity>0</DocSecurity>
  <Lines>150</Lines>
  <Paragraphs>138</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2025-12-29T09:45:00Z</dcterms:created>
  <dcterms:modified xsi:type="dcterms:W3CDTF">2025-12-29T09:45:00Z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eyJoZGlkIjoiNzdiMzc0MWQyOTI1NTZiZmVjYzllMmZiNmNmNTIxYWUiLCJ1c2VySWQiOiI5MzE4OTI2MjUifQ==</vt:lpwstr>
  </property>
  <property fmtid="{D5CDD505-2E9C-101B-9397-08002B2CF9AE}" pid="4" name="ICV">
    <vt:lpwstr>D9AEC9B9CE7247DB946027C91F66433F_12</vt:lpwstr>
  </property>
</Properties>
</file>