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ED0C" w14:textId="77777777" w:rsidR="00FF6797" w:rsidRDefault="00000000">
      <w:pPr>
        <w:spacing w:line="560" w:lineRule="exact"/>
        <w:jc w:val="left"/>
        <w:rPr>
          <w:rFonts w:ascii="Times New Roman" w:eastAsia="黑体" w:hAnsi="Times New Roman"/>
          <w:sz w:val="28"/>
          <w:szCs w:val="28"/>
        </w:rPr>
      </w:pPr>
      <w:r>
        <w:rPr>
          <w:rFonts w:ascii="Times New Roman" w:eastAsia="黑体" w:hAnsi="Times New Roman" w:hint="eastAsia"/>
          <w:sz w:val="28"/>
          <w:szCs w:val="28"/>
        </w:rPr>
        <w:t>附件</w:t>
      </w:r>
      <w:r>
        <w:rPr>
          <w:rFonts w:ascii="Times New Roman" w:eastAsia="黑体" w:hAnsi="Times New Roman" w:hint="eastAsia"/>
          <w:sz w:val="28"/>
          <w:szCs w:val="28"/>
        </w:rPr>
        <w:t>1</w:t>
      </w:r>
      <w:r>
        <w:rPr>
          <w:rFonts w:ascii="Times New Roman" w:eastAsia="黑体" w:hAnsi="Times New Roman" w:hint="eastAsia"/>
          <w:sz w:val="28"/>
          <w:szCs w:val="28"/>
        </w:rPr>
        <w:t>：</w:t>
      </w:r>
    </w:p>
    <w:p w14:paraId="14B4B44C" w14:textId="77777777" w:rsidR="00FF6797" w:rsidRDefault="00000000">
      <w:pPr>
        <w:spacing w:line="560" w:lineRule="exact"/>
        <w:jc w:val="center"/>
        <w:rPr>
          <w:rFonts w:ascii="Times New Roman" w:eastAsia="黑体" w:hAnsi="Times New Roman"/>
          <w:sz w:val="28"/>
          <w:szCs w:val="28"/>
        </w:rPr>
      </w:pPr>
      <w:bookmarkStart w:id="0" w:name="OLE_LINK6" w:colFirst="0" w:colLast="4"/>
      <w:r>
        <w:rPr>
          <w:rFonts w:ascii="Times New Roman" w:eastAsia="黑体" w:hAnsi="Times New Roman" w:hint="eastAsia"/>
          <w:sz w:val="28"/>
          <w:szCs w:val="28"/>
        </w:rPr>
        <w:t>数字化产品</w:t>
      </w:r>
      <w:r>
        <w:rPr>
          <w:rFonts w:ascii="Times New Roman" w:eastAsia="黑体" w:hAnsi="Times New Roman"/>
          <w:sz w:val="28"/>
          <w:szCs w:val="28"/>
        </w:rPr>
        <w:t>/</w:t>
      </w:r>
      <w:r>
        <w:rPr>
          <w:rFonts w:ascii="Times New Roman" w:eastAsia="黑体" w:hAnsi="Times New Roman" w:hint="eastAsia"/>
          <w:sz w:val="28"/>
          <w:szCs w:val="28"/>
        </w:rPr>
        <w:t>服务清单</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bottom w:w="17" w:type="dxa"/>
          <w:right w:w="0" w:type="dxa"/>
        </w:tblCellMar>
        <w:tblLook w:val="04A0" w:firstRow="1" w:lastRow="0" w:firstColumn="1" w:lastColumn="0" w:noHBand="0" w:noVBand="1"/>
      </w:tblPr>
      <w:tblGrid>
        <w:gridCol w:w="913"/>
        <w:gridCol w:w="1755"/>
        <w:gridCol w:w="3324"/>
        <w:gridCol w:w="1700"/>
        <w:gridCol w:w="1179"/>
        <w:gridCol w:w="21"/>
      </w:tblGrid>
      <w:tr w:rsidR="00FF6797" w14:paraId="0D3357E7" w14:textId="77777777">
        <w:trPr>
          <w:gridAfter w:val="1"/>
          <w:trHeight w:val="624"/>
          <w:jc w:val="center"/>
        </w:trPr>
        <w:tc>
          <w:tcPr>
            <w:tcW w:w="514" w:type="pct"/>
            <w:vMerge w:val="restart"/>
            <w:tcBorders>
              <w:top w:val="single" w:sz="4" w:space="0" w:color="auto"/>
              <w:left w:val="single" w:sz="4" w:space="0" w:color="auto"/>
              <w:bottom w:val="single" w:sz="4" w:space="0" w:color="auto"/>
              <w:right w:val="single" w:sz="4" w:space="0" w:color="auto"/>
            </w:tcBorders>
            <w:tcMar>
              <w:top w:w="30" w:type="dxa"/>
              <w:left w:w="22" w:type="dxa"/>
              <w:bottom w:w="22" w:type="dxa"/>
              <w:right w:w="22" w:type="dxa"/>
            </w:tcMar>
            <w:vAlign w:val="center"/>
          </w:tcPr>
          <w:p w14:paraId="73757C82"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序号</w:t>
            </w:r>
          </w:p>
        </w:tc>
        <w:tc>
          <w:tcPr>
            <w:tcW w:w="987" w:type="pct"/>
            <w:vMerge w:val="restart"/>
            <w:tcBorders>
              <w:top w:val="single" w:sz="4" w:space="0" w:color="auto"/>
              <w:left w:val="single" w:sz="4" w:space="0" w:color="auto"/>
              <w:bottom w:val="single" w:sz="4" w:space="0" w:color="auto"/>
              <w:right w:val="single" w:sz="4" w:space="0" w:color="auto"/>
            </w:tcBorders>
            <w:tcMar>
              <w:top w:w="30" w:type="dxa"/>
              <w:left w:w="22" w:type="dxa"/>
              <w:bottom w:w="22" w:type="dxa"/>
              <w:right w:w="22" w:type="dxa"/>
            </w:tcMar>
            <w:vAlign w:val="center"/>
          </w:tcPr>
          <w:p w14:paraId="7D366A34"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产品/服务名称</w:t>
            </w:r>
          </w:p>
        </w:tc>
        <w:tc>
          <w:tcPr>
            <w:tcW w:w="1869" w:type="pct"/>
            <w:vMerge w:val="restart"/>
            <w:tcBorders>
              <w:top w:val="single" w:sz="4" w:space="0" w:color="auto"/>
              <w:left w:val="single" w:sz="4" w:space="0" w:color="auto"/>
              <w:bottom w:val="single" w:sz="4" w:space="0" w:color="auto"/>
              <w:right w:val="single" w:sz="4" w:space="0" w:color="auto"/>
            </w:tcBorders>
            <w:tcMar>
              <w:top w:w="30" w:type="dxa"/>
              <w:left w:w="22" w:type="dxa"/>
              <w:bottom w:w="22" w:type="dxa"/>
              <w:right w:w="22" w:type="dxa"/>
            </w:tcMar>
            <w:vAlign w:val="center"/>
          </w:tcPr>
          <w:p w14:paraId="2B954B25"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产品/服务</w:t>
            </w:r>
          </w:p>
          <w:p w14:paraId="1970A6D5"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详情</w:t>
            </w:r>
          </w:p>
        </w:tc>
        <w:tc>
          <w:tcPr>
            <w:tcW w:w="956" w:type="pct"/>
            <w:vMerge w:val="restart"/>
            <w:tcBorders>
              <w:top w:val="single" w:sz="4" w:space="0" w:color="auto"/>
              <w:left w:val="single" w:sz="4" w:space="0" w:color="auto"/>
              <w:bottom w:val="single" w:sz="4" w:space="0" w:color="auto"/>
              <w:right w:val="single" w:sz="4" w:space="0" w:color="auto"/>
            </w:tcBorders>
            <w:tcMar>
              <w:top w:w="30" w:type="dxa"/>
              <w:left w:w="22" w:type="dxa"/>
              <w:bottom w:w="22" w:type="dxa"/>
              <w:right w:w="22" w:type="dxa"/>
            </w:tcMar>
            <w:vAlign w:val="center"/>
          </w:tcPr>
          <w:p w14:paraId="11BCEB6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产品/服务提供单位</w:t>
            </w:r>
          </w:p>
        </w:tc>
        <w:tc>
          <w:tcPr>
            <w:tcW w:w="663" w:type="pct"/>
            <w:vMerge w:val="restart"/>
            <w:tcBorders>
              <w:top w:val="single" w:sz="4" w:space="0" w:color="auto"/>
              <w:left w:val="single" w:sz="4" w:space="0" w:color="auto"/>
              <w:bottom w:val="single" w:sz="4" w:space="0" w:color="auto"/>
              <w:right w:val="single" w:sz="4" w:space="0" w:color="auto"/>
            </w:tcBorders>
            <w:vAlign w:val="center"/>
          </w:tcPr>
          <w:p w14:paraId="17A0C1B1"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数量</w:t>
            </w:r>
          </w:p>
        </w:tc>
      </w:tr>
      <w:tr w:rsidR="00FF6797" w14:paraId="6F58D693" w14:textId="77777777">
        <w:trPr>
          <w:trHeight w:val="70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C00007" w14:textId="77777777" w:rsidR="00FF6797" w:rsidRDefault="00FF6797">
            <w:pPr>
              <w:widowControl/>
              <w:spacing w:line="560" w:lineRule="exact"/>
              <w:jc w:val="center"/>
              <w:textAlignment w:val="center"/>
              <w:rPr>
                <w:rFonts w:ascii="黑体" w:eastAsia="黑体" w:hAnsi="黑体" w:cs="宋体" w:hint="eastAsia"/>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CDCE7B" w14:textId="77777777" w:rsidR="00FF6797" w:rsidRDefault="00FF6797">
            <w:pPr>
              <w:widowControl/>
              <w:spacing w:line="560" w:lineRule="exact"/>
              <w:jc w:val="center"/>
              <w:textAlignment w:val="center"/>
              <w:rPr>
                <w:rFonts w:ascii="黑体" w:eastAsia="黑体" w:hAnsi="黑体" w:cs="宋体" w:hint="eastAsia"/>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771887" w14:textId="77777777" w:rsidR="00FF6797" w:rsidRDefault="00FF6797">
            <w:pPr>
              <w:widowControl/>
              <w:spacing w:line="560" w:lineRule="exact"/>
              <w:jc w:val="center"/>
              <w:textAlignment w:val="center"/>
              <w:rPr>
                <w:rFonts w:ascii="黑体" w:eastAsia="黑体" w:hAnsi="黑体" w:cs="宋体" w:hint="eastAsia"/>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F4D6B2" w14:textId="77777777" w:rsidR="00FF6797" w:rsidRDefault="00FF6797">
            <w:pPr>
              <w:widowControl/>
              <w:spacing w:line="560" w:lineRule="exact"/>
              <w:jc w:val="center"/>
              <w:textAlignment w:val="center"/>
              <w:rPr>
                <w:rFonts w:ascii="黑体" w:eastAsia="黑体" w:hAnsi="黑体" w:cs="宋体" w:hint="eastAsia"/>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DD5AD6" w14:textId="77777777" w:rsidR="00FF6797" w:rsidRDefault="00FF6797">
            <w:pPr>
              <w:widowControl/>
              <w:spacing w:line="560" w:lineRule="exact"/>
              <w:jc w:val="center"/>
              <w:textAlignment w:val="center"/>
              <w:rPr>
                <w:rFonts w:ascii="黑体" w:eastAsia="黑体" w:hAnsi="黑体" w:cs="宋体" w:hint="eastAsia"/>
                <w:color w:val="000000"/>
                <w:kern w:val="0"/>
                <w:szCs w:val="21"/>
              </w:rPr>
            </w:pPr>
          </w:p>
        </w:tc>
        <w:tc>
          <w:tcPr>
            <w:tcW w:w="0" w:type="auto"/>
            <w:tcBorders>
              <w:top w:val="outset" w:sz="6" w:space="0" w:color="auto"/>
              <w:left w:val="outset" w:sz="6" w:space="0" w:color="auto"/>
              <w:bottom w:val="outset" w:sz="6" w:space="0" w:color="auto"/>
              <w:right w:val="outset" w:sz="6" w:space="0" w:color="auto"/>
            </w:tcBorders>
            <w:vAlign w:val="center"/>
          </w:tcPr>
          <w:p w14:paraId="0BF27400" w14:textId="77777777" w:rsidR="00FF6797" w:rsidRDefault="00FF6797">
            <w:pPr>
              <w:pStyle w:val="2"/>
              <w:spacing w:line="560" w:lineRule="exact"/>
              <w:rPr>
                <w:rFonts w:eastAsia="黑体"/>
                <w:sz w:val="28"/>
                <w:szCs w:val="28"/>
              </w:rPr>
            </w:pPr>
          </w:p>
        </w:tc>
      </w:tr>
      <w:tr w:rsidR="00FF6797" w14:paraId="39C8EB26" w14:textId="77777777">
        <w:trPr>
          <w:trHeight w:val="2270"/>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E2CB68B"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bookmarkStart w:id="1" w:name="OLE_LINK2" w:colFirst="0" w:colLast="4"/>
            <w:bookmarkStart w:id="2" w:name="_Hlk207899015" w:colFirst="0" w:colLast="4"/>
            <w:bookmarkStart w:id="3" w:name="_Hlk207899031" w:colFirst="0" w:colLast="4"/>
            <w:r>
              <w:rPr>
                <w:rFonts w:ascii="黑体" w:eastAsia="黑体" w:hAnsi="黑体" w:cs="宋体" w:hint="eastAsia"/>
                <w:color w:val="000000"/>
                <w:kern w:val="0"/>
                <w:szCs w:val="21"/>
              </w:rPr>
              <w:t>1</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463D72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动态建模平台</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540BE4B"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建模平台包含企业结构与管控建模、组织建模、流程建模、用户与角色建模，是所有模块使用的底座</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FD10AA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bookmarkStart w:id="4" w:name="OLE_LINK3"/>
            <w:bookmarkStart w:id="5" w:name="OLE_LINK9"/>
            <w:r>
              <w:rPr>
                <w:rFonts w:ascii="黑体" w:eastAsia="黑体" w:hAnsi="黑体" w:cs="宋体" w:hint="eastAsia"/>
                <w:color w:val="000000"/>
                <w:kern w:val="0"/>
                <w:szCs w:val="21"/>
              </w:rPr>
              <w:t>用友</w:t>
            </w:r>
            <w:bookmarkEnd w:id="4"/>
            <w:r>
              <w:rPr>
                <w:rFonts w:ascii="黑体" w:eastAsia="黑体" w:hAnsi="黑体" w:cs="宋体" w:hint="eastAsia"/>
                <w:color w:val="000000"/>
                <w:kern w:val="0"/>
                <w:szCs w:val="21"/>
              </w:rPr>
              <w:t>网络科技股份有限公司甘肃分公司</w:t>
            </w:r>
            <w:bookmarkEnd w:id="5"/>
          </w:p>
        </w:tc>
        <w:tc>
          <w:tcPr>
            <w:tcW w:w="663" w:type="pct"/>
            <w:tcBorders>
              <w:top w:val="single" w:sz="4" w:space="0" w:color="auto"/>
              <w:left w:val="single" w:sz="4" w:space="0" w:color="auto"/>
              <w:bottom w:val="single" w:sz="4" w:space="0" w:color="auto"/>
              <w:right w:val="single" w:sz="4" w:space="0" w:color="auto"/>
            </w:tcBorders>
            <w:vAlign w:val="center"/>
          </w:tcPr>
          <w:p w14:paraId="4192867A"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2D3DE00C" w14:textId="77777777" w:rsidR="00FF6797" w:rsidRDefault="00FF6797">
            <w:pPr>
              <w:pStyle w:val="2"/>
              <w:spacing w:line="560" w:lineRule="exact"/>
              <w:rPr>
                <w:rFonts w:eastAsia="黑体"/>
                <w:sz w:val="28"/>
                <w:szCs w:val="28"/>
              </w:rPr>
            </w:pPr>
          </w:p>
        </w:tc>
      </w:tr>
      <w:bookmarkEnd w:id="1"/>
      <w:tr w:rsidR="00FF6797" w14:paraId="0BBF7339" w14:textId="77777777">
        <w:trPr>
          <w:trHeight w:val="2075"/>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BF1F2E2"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BFFBF63"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报表平台</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D5E1965"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满足企业及业务部门报表数据分析方面的综合要求，支持个性化报表开发设计</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E012F2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0E79CCF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71BA1B8A" w14:textId="77777777" w:rsidR="00FF6797" w:rsidRDefault="00FF6797">
            <w:pPr>
              <w:pStyle w:val="2"/>
              <w:spacing w:line="560" w:lineRule="exact"/>
              <w:rPr>
                <w:rFonts w:eastAsia="黑体"/>
                <w:sz w:val="28"/>
                <w:szCs w:val="28"/>
              </w:rPr>
            </w:pPr>
          </w:p>
        </w:tc>
      </w:tr>
      <w:tr w:rsidR="00FF6797" w14:paraId="475B1F0B" w14:textId="77777777">
        <w:trPr>
          <w:trHeight w:val="3114"/>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AB40F5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3</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8BE9C2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总账</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37992E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总账是财务会计系统的核心，是企业日常基本财务核算工作中常用的凭证管理、往来核销管理、汇兑损益处理、自定义转账、期末处理等。</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A05A92C"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3637BD2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135F3AB0" w14:textId="77777777" w:rsidR="00FF6797" w:rsidRDefault="00FF6797">
            <w:pPr>
              <w:pStyle w:val="2"/>
              <w:spacing w:line="560" w:lineRule="exact"/>
              <w:rPr>
                <w:rFonts w:eastAsia="黑体"/>
                <w:sz w:val="28"/>
                <w:szCs w:val="28"/>
              </w:rPr>
            </w:pPr>
          </w:p>
        </w:tc>
      </w:tr>
      <w:tr w:rsidR="00FF6797" w14:paraId="17C18AA4" w14:textId="77777777">
        <w:trPr>
          <w:trHeight w:val="2168"/>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DC2D02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4</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5B9066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bookmarkStart w:id="6" w:name="OLE_LINK25"/>
            <w:r>
              <w:rPr>
                <w:rFonts w:ascii="黑体" w:eastAsia="黑体" w:hAnsi="黑体" w:cs="宋体" w:hint="eastAsia"/>
                <w:color w:val="000000"/>
                <w:kern w:val="0"/>
                <w:szCs w:val="21"/>
              </w:rPr>
              <w:t>固定资产</w:t>
            </w:r>
            <w:bookmarkEnd w:id="6"/>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637257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实现了对固定资产核算业务的支撑，还扩展到对递延资产、无形资产、及使用权资产的管理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CA3FDE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A4F391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3C4E0278" w14:textId="77777777" w:rsidR="00FF6797" w:rsidRDefault="00FF6797">
            <w:pPr>
              <w:pStyle w:val="2"/>
              <w:spacing w:line="560" w:lineRule="exact"/>
              <w:rPr>
                <w:rFonts w:eastAsia="黑体"/>
                <w:sz w:val="28"/>
                <w:szCs w:val="28"/>
              </w:rPr>
            </w:pPr>
          </w:p>
        </w:tc>
      </w:tr>
      <w:tr w:rsidR="00FF6797" w14:paraId="6883BCF4" w14:textId="77777777">
        <w:trPr>
          <w:trHeight w:val="2082"/>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6F06F45"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lastRenderedPageBreak/>
              <w:t>5</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0E9A50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bookmarkStart w:id="7" w:name="OLE_LINK27"/>
            <w:r>
              <w:rPr>
                <w:rFonts w:ascii="黑体" w:eastAsia="黑体" w:hAnsi="黑体" w:cs="宋体" w:hint="eastAsia"/>
                <w:color w:val="000000"/>
                <w:kern w:val="0"/>
                <w:szCs w:val="21"/>
              </w:rPr>
              <w:t>应收管理</w:t>
            </w:r>
            <w:bookmarkEnd w:id="7"/>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E6CB3DE"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实现企业与客户、部门和业务员所形成的应收款、收款业务的管理，为企业提供各种往来款项的处理、核销及相关的查询、统计的功能</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B3D1993"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020AFE2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7AC4BC96" w14:textId="77777777" w:rsidR="00FF6797" w:rsidRDefault="00FF6797">
            <w:pPr>
              <w:pStyle w:val="2"/>
              <w:spacing w:line="560" w:lineRule="exact"/>
              <w:rPr>
                <w:rFonts w:eastAsia="黑体"/>
                <w:sz w:val="28"/>
                <w:szCs w:val="28"/>
              </w:rPr>
            </w:pPr>
          </w:p>
        </w:tc>
      </w:tr>
      <w:tr w:rsidR="00FF6797" w14:paraId="74BEAFCA" w14:textId="77777777">
        <w:trPr>
          <w:trHeight w:val="2236"/>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0F4D42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6</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B7BAB24"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bookmarkStart w:id="8" w:name="OLE_LINK28"/>
            <w:r>
              <w:rPr>
                <w:rFonts w:ascii="黑体" w:eastAsia="黑体" w:hAnsi="黑体" w:cs="宋体" w:hint="eastAsia"/>
                <w:color w:val="000000"/>
                <w:kern w:val="0"/>
                <w:szCs w:val="21"/>
              </w:rPr>
              <w:t>应付管理</w:t>
            </w:r>
            <w:bookmarkEnd w:id="8"/>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2616F2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实现对企业与供应商、部门或业务员所形成的应付款及付款和预付款业务的管理，同时也支持暂估应付的管理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EF1F45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5338CC1C"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44FB38CB" w14:textId="77777777" w:rsidR="00FF6797" w:rsidRDefault="00FF6797">
            <w:pPr>
              <w:pStyle w:val="2"/>
              <w:spacing w:line="560" w:lineRule="exact"/>
              <w:rPr>
                <w:rFonts w:eastAsia="黑体"/>
                <w:sz w:val="28"/>
                <w:szCs w:val="28"/>
              </w:rPr>
            </w:pPr>
          </w:p>
        </w:tc>
      </w:tr>
      <w:tr w:rsidR="00FF6797" w14:paraId="197BCBEF" w14:textId="77777777">
        <w:trPr>
          <w:trHeight w:val="2027"/>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26AD5B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7</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796892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bookmarkStart w:id="9" w:name="OLE_LINK30"/>
            <w:r>
              <w:rPr>
                <w:rFonts w:ascii="黑体" w:eastAsia="黑体" w:hAnsi="黑体" w:cs="宋体" w:hint="eastAsia"/>
                <w:color w:val="000000"/>
                <w:kern w:val="0"/>
                <w:szCs w:val="21"/>
              </w:rPr>
              <w:t>存货核算</w:t>
            </w:r>
            <w:bookmarkEnd w:id="9"/>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51880A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对企业存货价值(即成本)的计量，用于企业存货出入库核算，存货出入. 库凭证处理，核算报表查询，期初期末处理。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80D28B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5BDFD35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34BB88CC" w14:textId="77777777" w:rsidR="00FF6797" w:rsidRDefault="00FF6797">
            <w:pPr>
              <w:pStyle w:val="2"/>
              <w:spacing w:line="560" w:lineRule="exact"/>
              <w:rPr>
                <w:rFonts w:eastAsia="黑体"/>
                <w:sz w:val="28"/>
                <w:szCs w:val="28"/>
              </w:rPr>
            </w:pPr>
          </w:p>
        </w:tc>
      </w:tr>
      <w:tr w:rsidR="00FF6797" w14:paraId="2C734692" w14:textId="77777777">
        <w:trPr>
          <w:trHeight w:val="2236"/>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D4B50CA"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8</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D671B5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企业报表</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791B1A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企业报表为大型集团企业的各类财务报表和内部管理报表的应用提供了分析及上报。</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B59189A"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6411A9FA"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14B2DA74" w14:textId="77777777" w:rsidR="00FF6797" w:rsidRDefault="00FF6797">
            <w:pPr>
              <w:pStyle w:val="2"/>
              <w:spacing w:line="560" w:lineRule="exact"/>
              <w:rPr>
                <w:rFonts w:eastAsia="黑体"/>
                <w:sz w:val="28"/>
                <w:szCs w:val="28"/>
              </w:rPr>
            </w:pPr>
          </w:p>
        </w:tc>
      </w:tr>
      <w:tr w:rsidR="00FF6797" w14:paraId="14A37172" w14:textId="77777777">
        <w:trPr>
          <w:trHeight w:val="2236"/>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D670BE1"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9</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53FA375"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合并报表</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56EAEDA"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按集团股权结构进行合并，支持支持多时间维度生成月、季、年的合并报表，合并抵销、实现集团内部往来和交易数据的对账及与自动抵销等，自动完成合并生成合并报表、合并抵销明细表及工作底稿。</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236918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0279A19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0F38E485" w14:textId="77777777" w:rsidR="00FF6797" w:rsidRDefault="00FF6797">
            <w:pPr>
              <w:pStyle w:val="2"/>
              <w:spacing w:line="560" w:lineRule="exact"/>
              <w:rPr>
                <w:rFonts w:eastAsia="黑体"/>
                <w:sz w:val="28"/>
                <w:szCs w:val="28"/>
              </w:rPr>
            </w:pPr>
          </w:p>
        </w:tc>
      </w:tr>
      <w:tr w:rsidR="00FF6797" w14:paraId="7B43D3C4"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D43D7EE"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lastRenderedPageBreak/>
              <w:t>10</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EBFB1FB"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账户管理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B1B9664"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银行账户的开销户管理，成员单位在资金组织的开销户、冻结和解冻管理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C655A9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7751FC3E"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1F46D41B" w14:textId="77777777" w:rsidR="00FF6797" w:rsidRDefault="00FF6797">
            <w:pPr>
              <w:pStyle w:val="2"/>
              <w:spacing w:line="560" w:lineRule="exact"/>
              <w:rPr>
                <w:rFonts w:eastAsia="黑体"/>
                <w:sz w:val="28"/>
                <w:szCs w:val="28"/>
              </w:rPr>
            </w:pPr>
          </w:p>
        </w:tc>
      </w:tr>
      <w:tr w:rsidR="00FF6797" w14:paraId="4E2B9187"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41FFCB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11</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A2FC64A"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全面预算</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5D6C073"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满足企业集团管控的应用要求，提供了完善的企业预算管理解决方案，包括：预算目标下达、各级预算主体的预算数据录入、上报和审批、预算调整、预算合并、执行监控、数据多版本管理和预算分析等。</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AA1E52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FDFE54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3B6C8B5F" w14:textId="77777777" w:rsidR="00FF6797" w:rsidRDefault="00FF6797">
            <w:pPr>
              <w:pStyle w:val="2"/>
              <w:spacing w:line="560" w:lineRule="exact"/>
              <w:rPr>
                <w:rFonts w:eastAsia="黑体"/>
                <w:sz w:val="28"/>
                <w:szCs w:val="28"/>
              </w:rPr>
            </w:pPr>
          </w:p>
        </w:tc>
      </w:tr>
      <w:tr w:rsidR="00FF6797" w14:paraId="66BF4F51"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87AD5F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12</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B6F2A1E"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现金管理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2AF7C2B"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企业的对外收付款、划账、结汇购汇、银行到账通知、银行对账等业务。</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13B4B1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0ABCD0E2"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08A616A4" w14:textId="77777777" w:rsidR="00FF6797" w:rsidRDefault="00FF6797">
            <w:pPr>
              <w:pStyle w:val="2"/>
              <w:spacing w:line="560" w:lineRule="exact"/>
              <w:rPr>
                <w:rFonts w:eastAsia="黑体"/>
                <w:sz w:val="28"/>
                <w:szCs w:val="28"/>
              </w:rPr>
            </w:pPr>
          </w:p>
        </w:tc>
      </w:tr>
      <w:tr w:rsidR="00FF6797" w14:paraId="3E5693E4"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452CA0A"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13</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71DC5E4"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结算平台</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C3D70A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企业的收付款结算进行管理，支持费用、应收应付现金管理业务的结算处理。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C1792A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F62F92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02FCFBDA" w14:textId="77777777" w:rsidR="00FF6797" w:rsidRDefault="00FF6797">
            <w:pPr>
              <w:pStyle w:val="2"/>
              <w:spacing w:line="560" w:lineRule="exact"/>
              <w:rPr>
                <w:rFonts w:eastAsia="黑体"/>
                <w:sz w:val="28"/>
                <w:szCs w:val="28"/>
              </w:rPr>
            </w:pPr>
          </w:p>
        </w:tc>
      </w:tr>
      <w:tr w:rsidR="00FF6797" w14:paraId="3E11CDD1"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A74666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14</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E8A30D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成本管理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680D91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支持生产制造企业、工厂按照灵活的成本核算方式进行成本核算（按月进行成本核算）</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814FC54"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08210C7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76E804EC" w14:textId="77777777" w:rsidR="00FF6797" w:rsidRDefault="00FF6797">
            <w:pPr>
              <w:pStyle w:val="2"/>
              <w:spacing w:line="560" w:lineRule="exact"/>
              <w:rPr>
                <w:rFonts w:eastAsia="黑体"/>
                <w:sz w:val="28"/>
                <w:szCs w:val="28"/>
              </w:rPr>
            </w:pPr>
          </w:p>
        </w:tc>
      </w:tr>
      <w:tr w:rsidR="00FF6797" w14:paraId="38D14F79"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C119CF9"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15</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ABFD253"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采购管理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BF49A24"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以采购订单为核心，对采购过程中物流运动的各个环节及状态进行跟踪管理，如从计划、请购、订货、收货、质检、入库、收票、结算等。</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1C9FE5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7D2F305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165E4031" w14:textId="77777777" w:rsidR="00FF6797" w:rsidRDefault="00FF6797">
            <w:pPr>
              <w:pStyle w:val="2"/>
              <w:spacing w:line="560" w:lineRule="exact"/>
              <w:rPr>
                <w:rFonts w:eastAsia="黑体"/>
                <w:sz w:val="28"/>
                <w:szCs w:val="28"/>
              </w:rPr>
            </w:pPr>
          </w:p>
        </w:tc>
      </w:tr>
      <w:tr w:rsidR="00FF6797" w14:paraId="074416ED"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0E2AD39"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lastRenderedPageBreak/>
              <w:t>16</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31C3C8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库存管理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D49B75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库存管理是供应链的基础模块，与采购管理、销售管理、生产制造、内部交易等模块紧密集成，对物料批次、出入库管理。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00B7153"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32076C7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61DA1AD4" w14:textId="77777777" w:rsidR="00FF6797" w:rsidRDefault="00FF6797">
            <w:pPr>
              <w:pStyle w:val="2"/>
              <w:spacing w:line="560" w:lineRule="exact"/>
              <w:rPr>
                <w:rFonts w:eastAsia="黑体"/>
                <w:sz w:val="28"/>
                <w:szCs w:val="28"/>
              </w:rPr>
            </w:pPr>
          </w:p>
        </w:tc>
      </w:tr>
      <w:tr w:rsidR="00FF6797" w14:paraId="342EDB25"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A3048C1"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17</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963F8F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销售管理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B53084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按照销售业务流程进行匹配设置销售流程，有销售订单、销售发票、结算等，支持销售类报表查询</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B725362"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0BF58F2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66826A24" w14:textId="77777777" w:rsidR="00FF6797" w:rsidRDefault="00FF6797">
            <w:pPr>
              <w:pStyle w:val="2"/>
              <w:spacing w:line="560" w:lineRule="exact"/>
              <w:rPr>
                <w:rFonts w:eastAsia="黑体"/>
                <w:sz w:val="28"/>
                <w:szCs w:val="28"/>
              </w:rPr>
            </w:pPr>
          </w:p>
        </w:tc>
      </w:tr>
      <w:tr w:rsidR="00FF6797" w14:paraId="473CF0C5"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499DBC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18</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D914A1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内部交易</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9D53F2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内部企业之间的交易，跨组织调拨、跨组织采购、跨组织销售等功能。</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4E4CEB4"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48DA9BD1"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05988542" w14:textId="77777777" w:rsidR="00FF6797" w:rsidRDefault="00FF6797">
            <w:pPr>
              <w:pStyle w:val="2"/>
              <w:spacing w:line="560" w:lineRule="exact"/>
              <w:rPr>
                <w:rFonts w:eastAsia="黑体"/>
                <w:sz w:val="28"/>
                <w:szCs w:val="28"/>
              </w:rPr>
            </w:pPr>
          </w:p>
        </w:tc>
      </w:tr>
      <w:tr w:rsidR="00FF6797" w14:paraId="57770563"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7ED8D7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19</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F589DD1"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质量管理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5AB2C5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报检、取样、检验、质检结果反馈、紧急放行、不合格品处理等全过程管理，实现企业对原材料采购、生产完工、在库品、退货品进行质量检验，满足各级管理者与相关控制人员对质量管理的需求和应用。</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2D2235C"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62A35B02"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2FE74CB8" w14:textId="77777777" w:rsidR="00FF6797" w:rsidRDefault="00FF6797">
            <w:pPr>
              <w:pStyle w:val="2"/>
              <w:spacing w:line="560" w:lineRule="exact"/>
              <w:rPr>
                <w:rFonts w:eastAsia="黑体"/>
                <w:sz w:val="28"/>
                <w:szCs w:val="28"/>
              </w:rPr>
            </w:pPr>
          </w:p>
        </w:tc>
      </w:tr>
      <w:tr w:rsidR="00FF6797" w14:paraId="3A302C25" w14:textId="77777777">
        <w:trPr>
          <w:trHeight w:val="677"/>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C1678F1"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20</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52A5E1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生产管理-流程生产任务</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568561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bookmarkStart w:id="10" w:name="OLE_LINK1"/>
            <w:r>
              <w:rPr>
                <w:rFonts w:ascii="黑体" w:eastAsia="黑体" w:hAnsi="黑体" w:cs="宋体" w:hint="eastAsia"/>
                <w:color w:val="000000"/>
                <w:kern w:val="0"/>
                <w:szCs w:val="21"/>
              </w:rPr>
              <w:t>生产任务进行全面管理，以订单为核心，支持流程生产订单维护、投放、领备料、完工报产、生产批次、流程生产工作台、报表</w:t>
            </w:r>
            <w:bookmarkEnd w:id="10"/>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EBBCA5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54E0323"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3CDB0A8A" w14:textId="77777777" w:rsidR="00FF6797" w:rsidRDefault="00FF6797">
            <w:pPr>
              <w:pStyle w:val="2"/>
              <w:spacing w:line="560" w:lineRule="exact"/>
              <w:rPr>
                <w:rFonts w:eastAsia="黑体"/>
                <w:sz w:val="28"/>
                <w:szCs w:val="28"/>
              </w:rPr>
            </w:pPr>
          </w:p>
        </w:tc>
      </w:tr>
      <w:tr w:rsidR="00FF6797" w14:paraId="5B1E0C9A"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51A636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21</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0635535"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友费控</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DC8AB5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财务领域的构成模块，支持全面预算对费用报销的额度控制，也可以</w:t>
            </w:r>
            <w:r>
              <w:rPr>
                <w:rFonts w:ascii="黑体" w:eastAsia="黑体" w:hAnsi="黑体" w:cs="宋体" w:hint="eastAsia"/>
                <w:color w:val="000000"/>
                <w:kern w:val="0"/>
                <w:szCs w:val="21"/>
              </w:rPr>
              <w:lastRenderedPageBreak/>
              <w:t>实现应收、应付、资金、付款合同单据的移动审批。</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66227A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lastRenderedPageBreak/>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0E9940D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1套包含166用户</w:t>
            </w:r>
          </w:p>
        </w:tc>
        <w:tc>
          <w:tcPr>
            <w:tcW w:w="0" w:type="auto"/>
            <w:tcBorders>
              <w:top w:val="single" w:sz="4" w:space="0" w:color="auto"/>
              <w:left w:val="single" w:sz="4" w:space="0" w:color="auto"/>
              <w:bottom w:val="single" w:sz="4" w:space="0" w:color="auto"/>
              <w:right w:val="single" w:sz="4" w:space="0" w:color="auto"/>
            </w:tcBorders>
            <w:vAlign w:val="center"/>
          </w:tcPr>
          <w:p w14:paraId="2858360B" w14:textId="77777777" w:rsidR="00FF6797" w:rsidRDefault="00FF6797">
            <w:pPr>
              <w:pStyle w:val="2"/>
              <w:spacing w:line="560" w:lineRule="exact"/>
              <w:rPr>
                <w:rFonts w:eastAsia="黑体"/>
                <w:sz w:val="28"/>
                <w:szCs w:val="28"/>
              </w:rPr>
            </w:pPr>
          </w:p>
        </w:tc>
      </w:tr>
      <w:tr w:rsidR="00FF6797" w14:paraId="6620EE0D" w14:textId="77777777">
        <w:trPr>
          <w:trHeight w:val="1474"/>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AD64A29"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22</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9E7D50B"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稳件中间件</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DE4F225"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中间件</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32A45B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67C05F61"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5A180266" w14:textId="77777777" w:rsidR="00FF6797" w:rsidRDefault="00FF6797">
            <w:pPr>
              <w:pStyle w:val="2"/>
              <w:spacing w:line="560" w:lineRule="exact"/>
              <w:rPr>
                <w:rFonts w:eastAsia="黑体"/>
                <w:sz w:val="28"/>
                <w:szCs w:val="28"/>
              </w:rPr>
            </w:pPr>
          </w:p>
        </w:tc>
      </w:tr>
      <w:tr w:rsidR="00FF6797" w14:paraId="2352A695" w14:textId="77777777">
        <w:trPr>
          <w:trHeight w:val="1424"/>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859514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23</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58EC6A3"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用户许可</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1673282"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33用户许可，操作用户</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F09702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18207A9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1套包含33用户</w:t>
            </w:r>
          </w:p>
        </w:tc>
        <w:tc>
          <w:tcPr>
            <w:tcW w:w="0" w:type="auto"/>
            <w:tcBorders>
              <w:top w:val="single" w:sz="4" w:space="0" w:color="auto"/>
              <w:left w:val="single" w:sz="4" w:space="0" w:color="auto"/>
              <w:bottom w:val="single" w:sz="4" w:space="0" w:color="auto"/>
              <w:right w:val="single" w:sz="4" w:space="0" w:color="auto"/>
            </w:tcBorders>
            <w:vAlign w:val="center"/>
          </w:tcPr>
          <w:p w14:paraId="310B8DFB" w14:textId="77777777" w:rsidR="00FF6797" w:rsidRDefault="00FF6797">
            <w:pPr>
              <w:pStyle w:val="2"/>
              <w:spacing w:line="560" w:lineRule="exact"/>
              <w:rPr>
                <w:rFonts w:eastAsia="黑体"/>
                <w:sz w:val="28"/>
                <w:szCs w:val="28"/>
              </w:rPr>
            </w:pPr>
          </w:p>
        </w:tc>
      </w:tr>
      <w:tr w:rsidR="00FF6797" w14:paraId="4B535B96"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4CD782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24</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987115C"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SPS厂商软件</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DB1E22B"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软件漏洞补丁更新、系统体检报告、巡检</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C3E6D1B"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51EC6459"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74D2855E" w14:textId="77777777" w:rsidR="00FF6797" w:rsidRDefault="00FF6797">
            <w:pPr>
              <w:pStyle w:val="2"/>
              <w:spacing w:line="560" w:lineRule="exact"/>
              <w:rPr>
                <w:rFonts w:eastAsia="黑体"/>
                <w:sz w:val="28"/>
                <w:szCs w:val="28"/>
              </w:rPr>
            </w:pPr>
          </w:p>
        </w:tc>
      </w:tr>
      <w:tr w:rsidR="00FF6797" w14:paraId="4938E12C"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7ED6DD2"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25</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A9AF372"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移动API网关</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57A344E"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如果需要使用高级版的各类移动应用，均需要用到移动网关。</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C3570A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192F61C1"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1年订阅</w:t>
            </w:r>
          </w:p>
        </w:tc>
        <w:tc>
          <w:tcPr>
            <w:tcW w:w="0" w:type="auto"/>
            <w:tcBorders>
              <w:top w:val="single" w:sz="4" w:space="0" w:color="auto"/>
              <w:left w:val="single" w:sz="4" w:space="0" w:color="auto"/>
              <w:bottom w:val="single" w:sz="4" w:space="0" w:color="auto"/>
              <w:right w:val="single" w:sz="4" w:space="0" w:color="auto"/>
            </w:tcBorders>
            <w:vAlign w:val="center"/>
          </w:tcPr>
          <w:p w14:paraId="49C5ED99" w14:textId="77777777" w:rsidR="00FF6797" w:rsidRDefault="00FF6797">
            <w:pPr>
              <w:pStyle w:val="2"/>
              <w:spacing w:line="560" w:lineRule="exact"/>
              <w:rPr>
                <w:rFonts w:eastAsia="黑体"/>
                <w:sz w:val="28"/>
                <w:szCs w:val="28"/>
              </w:rPr>
            </w:pPr>
          </w:p>
        </w:tc>
      </w:tr>
      <w:tr w:rsidR="00FF6797" w14:paraId="5978AB7F"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6231F9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26</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C80A094"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办公-移动审批</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D9D1FBC"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提供在友空间移动端便捷处理各类待办业务消息审批能力，支持按待办、已办状态进行审批详情查看。</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FD7648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3539A60E"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1年订阅包含33用户</w:t>
            </w:r>
          </w:p>
        </w:tc>
        <w:tc>
          <w:tcPr>
            <w:tcW w:w="0" w:type="auto"/>
            <w:tcBorders>
              <w:top w:val="single" w:sz="4" w:space="0" w:color="auto"/>
              <w:left w:val="single" w:sz="4" w:space="0" w:color="auto"/>
              <w:bottom w:val="single" w:sz="4" w:space="0" w:color="auto"/>
              <w:right w:val="single" w:sz="4" w:space="0" w:color="auto"/>
            </w:tcBorders>
            <w:vAlign w:val="center"/>
          </w:tcPr>
          <w:p w14:paraId="7FA43455" w14:textId="77777777" w:rsidR="00FF6797" w:rsidRDefault="00FF6797">
            <w:pPr>
              <w:pStyle w:val="2"/>
              <w:spacing w:line="560" w:lineRule="exact"/>
              <w:rPr>
                <w:rFonts w:eastAsia="黑体"/>
                <w:sz w:val="28"/>
                <w:szCs w:val="28"/>
              </w:rPr>
            </w:pPr>
          </w:p>
        </w:tc>
      </w:tr>
      <w:tr w:rsidR="00FF6797" w14:paraId="44F83423"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558027A"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27</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C63C5E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办公-移动销售</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AAC28FA"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支持销售员在移动端进行报价、下单，订单执行等数据的查询。</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9ACD489"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7662842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1年订阅包含5用户</w:t>
            </w:r>
          </w:p>
          <w:p w14:paraId="3C75AEA7" w14:textId="77777777" w:rsidR="00FF6797" w:rsidRDefault="00FF6797">
            <w:pPr>
              <w:widowControl/>
              <w:spacing w:line="560" w:lineRule="exact"/>
              <w:jc w:val="center"/>
              <w:textAlignment w:val="center"/>
              <w:rPr>
                <w:rFonts w:ascii="黑体" w:eastAsia="黑体" w:hAnsi="黑体" w:cs="宋体" w:hint="eastAsia"/>
                <w:color w:val="000000"/>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9BA23B3" w14:textId="77777777" w:rsidR="00FF6797" w:rsidRDefault="00FF6797">
            <w:pPr>
              <w:pStyle w:val="2"/>
              <w:spacing w:line="560" w:lineRule="exact"/>
              <w:rPr>
                <w:rFonts w:eastAsia="黑体"/>
                <w:sz w:val="28"/>
                <w:szCs w:val="28"/>
              </w:rPr>
            </w:pPr>
          </w:p>
        </w:tc>
      </w:tr>
      <w:tr w:rsidR="00FF6797" w14:paraId="58BC879F"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0F4FFB4"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28</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2025FD3"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仓储管理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0230DC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可视化仓库示意图，通过条码扫码枪进行货物库出库业务、库存盘</w:t>
            </w:r>
            <w:r>
              <w:rPr>
                <w:rFonts w:ascii="黑体" w:eastAsia="黑体" w:hAnsi="黑体" w:cs="宋体" w:hint="eastAsia"/>
                <w:color w:val="000000"/>
                <w:kern w:val="0"/>
                <w:szCs w:val="21"/>
              </w:rPr>
              <w:lastRenderedPageBreak/>
              <w:t>点、库存调整、辅助查询、仓库看板</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BD44E5B"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lastRenderedPageBreak/>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3ACEC25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1套15用户许可</w:t>
            </w:r>
          </w:p>
        </w:tc>
        <w:tc>
          <w:tcPr>
            <w:tcW w:w="0" w:type="auto"/>
            <w:tcBorders>
              <w:top w:val="single" w:sz="4" w:space="0" w:color="auto"/>
              <w:left w:val="single" w:sz="4" w:space="0" w:color="auto"/>
              <w:bottom w:val="single" w:sz="4" w:space="0" w:color="auto"/>
              <w:right w:val="single" w:sz="4" w:space="0" w:color="auto"/>
            </w:tcBorders>
            <w:vAlign w:val="center"/>
          </w:tcPr>
          <w:p w14:paraId="29024FCF" w14:textId="77777777" w:rsidR="00FF6797" w:rsidRDefault="00FF6797">
            <w:pPr>
              <w:pStyle w:val="2"/>
              <w:spacing w:line="560" w:lineRule="exact"/>
              <w:rPr>
                <w:rFonts w:eastAsia="黑体"/>
                <w:sz w:val="28"/>
                <w:szCs w:val="28"/>
              </w:rPr>
            </w:pPr>
          </w:p>
        </w:tc>
      </w:tr>
      <w:tr w:rsidR="00FF6797" w14:paraId="06520D15"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3ABCD4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29</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0EF19E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资产盘点</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FC2599C"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固定资产盘点、资产变动、资产查询、设备变动、设备查询</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DF49E93"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7C7437CE"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1套包含2个许可</w:t>
            </w:r>
          </w:p>
        </w:tc>
        <w:tc>
          <w:tcPr>
            <w:tcW w:w="0" w:type="auto"/>
            <w:tcBorders>
              <w:top w:val="single" w:sz="4" w:space="0" w:color="auto"/>
              <w:left w:val="single" w:sz="4" w:space="0" w:color="auto"/>
              <w:bottom w:val="single" w:sz="4" w:space="0" w:color="auto"/>
              <w:right w:val="single" w:sz="4" w:space="0" w:color="auto"/>
            </w:tcBorders>
            <w:vAlign w:val="center"/>
          </w:tcPr>
          <w:p w14:paraId="118DC1D7" w14:textId="77777777" w:rsidR="00FF6797" w:rsidRDefault="00FF6797">
            <w:pPr>
              <w:pStyle w:val="2"/>
              <w:spacing w:line="560" w:lineRule="exact"/>
              <w:rPr>
                <w:rFonts w:eastAsia="黑体"/>
                <w:sz w:val="28"/>
                <w:szCs w:val="28"/>
              </w:rPr>
            </w:pPr>
          </w:p>
        </w:tc>
      </w:tr>
      <w:bookmarkEnd w:id="2"/>
      <w:tr w:rsidR="00FF6797" w14:paraId="6E7D6403"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4CC860B"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30</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53F1C4E"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生产计划</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12D9AAD"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主生产计划用来确定每一具体的最终产品在每一具体时间段内生产数量</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D93BD7C"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bookmarkStart w:id="11" w:name="OLE_LINK4"/>
            <w:r>
              <w:rPr>
                <w:rFonts w:ascii="黑体" w:eastAsia="黑体" w:hAnsi="黑体" w:cs="宋体" w:hint="eastAsia"/>
                <w:color w:val="000000"/>
                <w:kern w:val="0"/>
                <w:szCs w:val="21"/>
              </w:rPr>
              <w:t>用友网络科技股份有限公司甘肃分公司</w:t>
            </w:r>
            <w:bookmarkEnd w:id="11"/>
          </w:p>
        </w:tc>
        <w:tc>
          <w:tcPr>
            <w:tcW w:w="663" w:type="pct"/>
            <w:tcBorders>
              <w:top w:val="single" w:sz="4" w:space="0" w:color="auto"/>
              <w:left w:val="single" w:sz="4" w:space="0" w:color="auto"/>
              <w:bottom w:val="single" w:sz="4" w:space="0" w:color="auto"/>
              <w:right w:val="single" w:sz="4" w:space="0" w:color="auto"/>
            </w:tcBorders>
            <w:vAlign w:val="center"/>
          </w:tcPr>
          <w:p w14:paraId="17D9015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7B14F80F" w14:textId="77777777" w:rsidR="00FF6797" w:rsidRDefault="00FF6797">
            <w:pPr>
              <w:pStyle w:val="2"/>
              <w:spacing w:line="560" w:lineRule="exact"/>
              <w:rPr>
                <w:rFonts w:eastAsia="黑体"/>
                <w:sz w:val="28"/>
                <w:szCs w:val="28"/>
              </w:rPr>
            </w:pPr>
          </w:p>
        </w:tc>
      </w:tr>
      <w:tr w:rsidR="00FF6797" w14:paraId="54459E53"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B72BE0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31</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BEFEA07"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云条码-质量</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DF1FB31"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到货取样、工序取样、完工检</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73E48C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5B7C2E6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1套6许可</w:t>
            </w:r>
          </w:p>
        </w:tc>
        <w:tc>
          <w:tcPr>
            <w:tcW w:w="0" w:type="auto"/>
            <w:tcBorders>
              <w:top w:val="single" w:sz="4" w:space="0" w:color="auto"/>
              <w:left w:val="single" w:sz="4" w:space="0" w:color="auto"/>
              <w:bottom w:val="single" w:sz="4" w:space="0" w:color="auto"/>
              <w:right w:val="single" w:sz="4" w:space="0" w:color="auto"/>
            </w:tcBorders>
            <w:vAlign w:val="center"/>
          </w:tcPr>
          <w:p w14:paraId="460BF869" w14:textId="77777777" w:rsidR="00FF6797" w:rsidRDefault="00FF6797">
            <w:pPr>
              <w:pStyle w:val="2"/>
              <w:spacing w:line="560" w:lineRule="exact"/>
              <w:rPr>
                <w:rFonts w:eastAsia="黑体"/>
                <w:sz w:val="28"/>
                <w:szCs w:val="28"/>
              </w:rPr>
            </w:pPr>
          </w:p>
        </w:tc>
      </w:tr>
      <w:tr w:rsidR="00FF6797" w14:paraId="3318DDEE"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DD7A94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32</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584C09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云条码-车间</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0DD0724"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工序派工、工序报工、上料校验</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A67E94F"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F6E7802"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1套6许可</w:t>
            </w:r>
          </w:p>
        </w:tc>
        <w:tc>
          <w:tcPr>
            <w:tcW w:w="0" w:type="auto"/>
            <w:tcBorders>
              <w:top w:val="single" w:sz="4" w:space="0" w:color="auto"/>
              <w:left w:val="single" w:sz="4" w:space="0" w:color="auto"/>
              <w:bottom w:val="single" w:sz="4" w:space="0" w:color="auto"/>
              <w:right w:val="single" w:sz="4" w:space="0" w:color="auto"/>
            </w:tcBorders>
            <w:vAlign w:val="center"/>
          </w:tcPr>
          <w:p w14:paraId="3BFEA551" w14:textId="77777777" w:rsidR="00FF6797" w:rsidRDefault="00FF6797">
            <w:pPr>
              <w:pStyle w:val="2"/>
              <w:spacing w:line="560" w:lineRule="exact"/>
              <w:rPr>
                <w:rFonts w:eastAsia="黑体"/>
                <w:sz w:val="28"/>
                <w:szCs w:val="28"/>
              </w:rPr>
            </w:pPr>
          </w:p>
        </w:tc>
      </w:tr>
      <w:tr w:rsidR="00FF6797" w14:paraId="2762CAEB"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BA4FD1B"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33</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38EAE6E"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RFID特性</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3C67F9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RFID资产查询，资产盘点、RFID写卡</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1197E39"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A0C3DA8"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32A60D8E" w14:textId="77777777" w:rsidR="00FF6797" w:rsidRDefault="00FF6797">
            <w:pPr>
              <w:pStyle w:val="2"/>
              <w:spacing w:line="560" w:lineRule="exact"/>
              <w:rPr>
                <w:rFonts w:eastAsia="黑体"/>
                <w:sz w:val="28"/>
                <w:szCs w:val="28"/>
              </w:rPr>
            </w:pPr>
          </w:p>
        </w:tc>
      </w:tr>
      <w:tr w:rsidR="00FF6797" w14:paraId="667FA1BE" w14:textId="77777777">
        <w:trPr>
          <w:trHeight w:val="1389"/>
          <w:jc w:val="center"/>
        </w:trPr>
        <w:tc>
          <w:tcPr>
            <w:tcW w:w="514"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8403540"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34</w:t>
            </w:r>
          </w:p>
        </w:tc>
        <w:tc>
          <w:tcPr>
            <w:tcW w:w="98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2479DB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看板管理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07A1134"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仓库看板</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5F2D9AC"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109576E6" w14:textId="77777777" w:rsidR="00FF6797"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1套</w:t>
            </w:r>
          </w:p>
        </w:tc>
        <w:tc>
          <w:tcPr>
            <w:tcW w:w="0" w:type="auto"/>
            <w:tcBorders>
              <w:top w:val="single" w:sz="4" w:space="0" w:color="auto"/>
              <w:left w:val="single" w:sz="4" w:space="0" w:color="auto"/>
              <w:bottom w:val="single" w:sz="4" w:space="0" w:color="auto"/>
              <w:right w:val="single" w:sz="4" w:space="0" w:color="auto"/>
            </w:tcBorders>
            <w:vAlign w:val="center"/>
          </w:tcPr>
          <w:p w14:paraId="50FF201C" w14:textId="77777777" w:rsidR="00FF6797" w:rsidRDefault="00FF6797">
            <w:pPr>
              <w:pStyle w:val="2"/>
              <w:spacing w:line="560" w:lineRule="exact"/>
              <w:rPr>
                <w:rFonts w:eastAsia="黑体"/>
                <w:sz w:val="28"/>
                <w:szCs w:val="28"/>
              </w:rPr>
            </w:pPr>
          </w:p>
        </w:tc>
      </w:tr>
      <w:bookmarkEnd w:id="0"/>
      <w:bookmarkEnd w:id="3"/>
    </w:tbl>
    <w:p w14:paraId="763358EB" w14:textId="77777777" w:rsidR="00FF6797" w:rsidRDefault="00FF6797">
      <w:pPr>
        <w:pStyle w:val="2"/>
        <w:spacing w:line="560" w:lineRule="exact"/>
        <w:ind w:leftChars="0" w:left="0" w:firstLine="0"/>
        <w:rPr>
          <w:rFonts w:ascii="仿宋_GB2312" w:eastAsia="仿宋_GB2312" w:hAnsi="仿宋_GB2312" w:cs="仿宋_GB2312" w:hint="eastAsia"/>
          <w:sz w:val="32"/>
          <w:szCs w:val="32"/>
        </w:rPr>
      </w:pPr>
    </w:p>
    <w:sectPr w:rsidR="00FF6797">
      <w:pgSz w:w="11906" w:h="16838"/>
      <w:pgMar w:top="1417" w:right="991" w:bottom="141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094F" w14:textId="77777777" w:rsidR="00501917" w:rsidRDefault="00501917" w:rsidP="005B1203">
      <w:r>
        <w:separator/>
      </w:r>
    </w:p>
  </w:endnote>
  <w:endnote w:type="continuationSeparator" w:id="0">
    <w:p w14:paraId="0A14D19F" w14:textId="77777777" w:rsidR="00501917" w:rsidRDefault="00501917" w:rsidP="005B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EF15" w14:textId="77777777" w:rsidR="00501917" w:rsidRDefault="00501917" w:rsidP="005B1203">
      <w:r>
        <w:separator/>
      </w:r>
    </w:p>
  </w:footnote>
  <w:footnote w:type="continuationSeparator" w:id="0">
    <w:p w14:paraId="57D7F502" w14:textId="77777777" w:rsidR="00501917" w:rsidRDefault="00501917" w:rsidP="005B1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10D32"/>
    <w:multiLevelType w:val="singleLevel"/>
    <w:tmpl w:val="26010D32"/>
    <w:lvl w:ilvl="0">
      <w:start w:val="8"/>
      <w:numFmt w:val="chineseCounting"/>
      <w:suff w:val="nothing"/>
      <w:lvlText w:val="%1、"/>
      <w:lvlJc w:val="left"/>
      <w:rPr>
        <w:rFonts w:hint="eastAsia"/>
      </w:rPr>
    </w:lvl>
  </w:abstractNum>
  <w:num w:numId="1" w16cid:durableId="1645819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1F"/>
    <w:rsid w:val="000168B0"/>
    <w:rsid w:val="000319DD"/>
    <w:rsid w:val="0010154B"/>
    <w:rsid w:val="001A7404"/>
    <w:rsid w:val="001B3F9D"/>
    <w:rsid w:val="001E5DA3"/>
    <w:rsid w:val="001F46BE"/>
    <w:rsid w:val="00253F74"/>
    <w:rsid w:val="00356541"/>
    <w:rsid w:val="00384EB6"/>
    <w:rsid w:val="004F308B"/>
    <w:rsid w:val="00501917"/>
    <w:rsid w:val="005B1203"/>
    <w:rsid w:val="005B31D4"/>
    <w:rsid w:val="00605D1F"/>
    <w:rsid w:val="00612DF3"/>
    <w:rsid w:val="00656E6B"/>
    <w:rsid w:val="00675225"/>
    <w:rsid w:val="006911F9"/>
    <w:rsid w:val="006E33E7"/>
    <w:rsid w:val="00804001"/>
    <w:rsid w:val="008823C2"/>
    <w:rsid w:val="009038A7"/>
    <w:rsid w:val="0092535C"/>
    <w:rsid w:val="00A24442"/>
    <w:rsid w:val="00A64895"/>
    <w:rsid w:val="00A74A1C"/>
    <w:rsid w:val="00B339FF"/>
    <w:rsid w:val="00B528B9"/>
    <w:rsid w:val="00B75C3A"/>
    <w:rsid w:val="00C234D6"/>
    <w:rsid w:val="00C2774F"/>
    <w:rsid w:val="00CA79D0"/>
    <w:rsid w:val="00DB600A"/>
    <w:rsid w:val="00DE2DF3"/>
    <w:rsid w:val="00E22347"/>
    <w:rsid w:val="00E96A9D"/>
    <w:rsid w:val="00FF6797"/>
    <w:rsid w:val="00FF7707"/>
    <w:rsid w:val="01080A12"/>
    <w:rsid w:val="072233D4"/>
    <w:rsid w:val="0B3F7726"/>
    <w:rsid w:val="0C1A5F83"/>
    <w:rsid w:val="0DF34C0E"/>
    <w:rsid w:val="16436C21"/>
    <w:rsid w:val="180D7774"/>
    <w:rsid w:val="1C4C1AD2"/>
    <w:rsid w:val="1CB870F6"/>
    <w:rsid w:val="1CBD2336"/>
    <w:rsid w:val="2207353A"/>
    <w:rsid w:val="2E56075F"/>
    <w:rsid w:val="305C6DAF"/>
    <w:rsid w:val="32D0760E"/>
    <w:rsid w:val="3BA40D5C"/>
    <w:rsid w:val="3D95578C"/>
    <w:rsid w:val="3F3F14E8"/>
    <w:rsid w:val="40C54A17"/>
    <w:rsid w:val="43907E81"/>
    <w:rsid w:val="45303A23"/>
    <w:rsid w:val="49805057"/>
    <w:rsid w:val="4A975D3C"/>
    <w:rsid w:val="4CAB127E"/>
    <w:rsid w:val="51571C09"/>
    <w:rsid w:val="61D9617E"/>
    <w:rsid w:val="63197AB0"/>
    <w:rsid w:val="64047D3A"/>
    <w:rsid w:val="64F530B5"/>
    <w:rsid w:val="69A262CD"/>
    <w:rsid w:val="69F36887"/>
    <w:rsid w:val="6B0A241C"/>
    <w:rsid w:val="6D941941"/>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CC3DC"/>
  <w15:docId w15:val="{37CD8E20-F115-4B86-9086-42F7B129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semiHidden="1" w:uiPriority="99"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rPr>
      <w:rFonts w:ascii="Times New Roman" w:eastAsia="宋体" w:hAnsi="Times New Roman"/>
      <w:i/>
      <w:color w:val="0000FF"/>
      <w:szCs w:val="21"/>
      <w:u w:val="single"/>
    </w:rPr>
  </w:style>
  <w:style w:type="paragraph" w:styleId="a3">
    <w:name w:val="Body Text Indent"/>
    <w:basedOn w:val="a"/>
    <w:uiPriority w:val="99"/>
    <w:semiHidden/>
    <w:unhideWhenUsed/>
    <w:qFormat/>
    <w:pPr>
      <w:spacing w:after="120"/>
      <w:ind w:leftChars="200" w:left="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Emphasis"/>
    <w:basedOn w:val="a0"/>
    <w:qFormat/>
    <w:rPr>
      <w:i/>
    </w:rPr>
  </w:style>
  <w:style w:type="character" w:styleId="aa">
    <w:name w:val="Hyperlink"/>
    <w:basedOn w:val="a0"/>
    <w:qFormat/>
    <w:rPr>
      <w:color w:val="0000FF"/>
      <w:u w:val="single"/>
    </w:rPr>
  </w:style>
  <w:style w:type="table" w:customStyle="1" w:styleId="tableBorder">
    <w:name w:val="tableBorder"/>
    <w:autoRedefine/>
    <w:qFormat/>
    <w:tblPr>
      <w:tblCellMar>
        <w:top w:w="0" w:type="dxa"/>
        <w:left w:w="108" w:type="dxa"/>
        <w:bottom w:w="0" w:type="dxa"/>
        <w:right w:w="108" w:type="dxa"/>
      </w:tblCellMar>
    </w:tbl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1326</Characters>
  <Application>Microsoft Office Word</Application>
  <DocSecurity>0</DocSecurity>
  <Lines>165</Lines>
  <Paragraphs>128</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2025-12-29T09:49:00Z</dcterms:created>
  <dcterms:modified xsi:type="dcterms:W3CDTF">2025-12-29T09:49:00Z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eyJoZGlkIjoiNzdiMzc0MWQyOTI1NTZiZmVjYzllMmZiNmNmNTIxYWUiLCJ1c2VySWQiOiI5MzE4OTI2MjUifQ==</vt:lpwstr>
  </property>
  <property fmtid="{D5CDD505-2E9C-101B-9397-08002B2CF9AE}" pid="4" name="ICV">
    <vt:lpwstr>D9AEC9B9CE7247DB946027C91F66433F_12</vt:lpwstr>
  </property>
</Properties>
</file>