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0"/>
        </w:tabs>
        <w:kinsoku/>
        <w:wordWrap/>
        <w:overflowPunct/>
        <w:topLinePunct w:val="0"/>
        <w:autoSpaceDE w:val="0"/>
        <w:autoSpaceDN w:val="0"/>
        <w:bidi w:val="0"/>
        <w:adjustRightInd w:val="0"/>
        <w:spacing w:line="600" w:lineRule="exact"/>
        <w:ind w:left="288" w:right="-1" w:hanging="1"/>
        <w:jc w:val="center"/>
        <w:rPr>
          <w:rFonts w:hint="eastAsia" w:ascii="华文中宋" w:hAnsi="华文中宋" w:eastAsia="华文中宋" w:cs="华文中宋"/>
          <w:b w:val="0"/>
          <w:bCs/>
          <w:sz w:val="36"/>
          <w:szCs w:val="36"/>
        </w:rPr>
      </w:pPr>
      <w:r>
        <w:rPr>
          <w:rFonts w:hint="eastAsia" w:ascii="华文中宋" w:hAnsi="华文中宋" w:eastAsia="华文中宋" w:cs="华文中宋"/>
          <w:b w:val="0"/>
          <w:bCs/>
          <w:sz w:val="36"/>
          <w:szCs w:val="36"/>
        </w:rPr>
        <w:t>甘肃东兴铝业有限公司陇西分公司</w:t>
      </w:r>
    </w:p>
    <w:p>
      <w:pPr>
        <w:keepNext w:val="0"/>
        <w:keepLines w:val="0"/>
        <w:pageBreakBefore w:val="0"/>
        <w:widowControl w:val="0"/>
        <w:tabs>
          <w:tab w:val="left" w:pos="0"/>
        </w:tabs>
        <w:kinsoku/>
        <w:wordWrap/>
        <w:overflowPunct/>
        <w:topLinePunct w:val="0"/>
        <w:autoSpaceDE w:val="0"/>
        <w:autoSpaceDN w:val="0"/>
        <w:bidi w:val="0"/>
        <w:adjustRightInd w:val="0"/>
        <w:spacing w:line="600" w:lineRule="exact"/>
        <w:ind w:left="288" w:right="-1" w:hanging="1"/>
        <w:jc w:val="center"/>
        <w:rPr>
          <w:rFonts w:hint="eastAsia" w:ascii="华文中宋" w:hAnsi="华文中宋" w:eastAsia="华文中宋" w:cs="华文中宋"/>
          <w:b w:val="0"/>
          <w:bCs/>
          <w:sz w:val="36"/>
          <w:szCs w:val="36"/>
        </w:rPr>
      </w:pPr>
      <w:r>
        <w:rPr>
          <w:rFonts w:hint="eastAsia" w:ascii="华文中宋" w:hAnsi="华文中宋" w:eastAsia="华文中宋" w:cs="华文中宋"/>
          <w:b w:val="0"/>
          <w:bCs/>
          <w:sz w:val="36"/>
          <w:szCs w:val="36"/>
          <w:lang w:val="en-US" w:eastAsia="zh-CN"/>
        </w:rPr>
        <w:t>阳极组装作业区悬挂式输送机维修</w:t>
      </w:r>
      <w:r>
        <w:rPr>
          <w:rFonts w:hint="eastAsia" w:ascii="华文中宋" w:hAnsi="华文中宋" w:eastAsia="华文中宋" w:cs="华文中宋"/>
          <w:b w:val="0"/>
          <w:bCs/>
          <w:sz w:val="36"/>
          <w:szCs w:val="36"/>
        </w:rPr>
        <w:t>技术规格书</w:t>
      </w:r>
    </w:p>
    <w:p>
      <w:pPr>
        <w:keepNext w:val="0"/>
        <w:keepLines w:val="0"/>
        <w:pageBreakBefore w:val="0"/>
        <w:widowControl w:val="0"/>
        <w:kinsoku/>
        <w:wordWrap/>
        <w:overflowPunct/>
        <w:topLinePunct w:val="0"/>
        <w:bidi w:val="0"/>
        <w:spacing w:line="600" w:lineRule="exact"/>
        <w:rPr>
          <w:rFonts w:hint="eastAsia" w:ascii="宋体" w:hAnsi="宋体" w:cs="宋体"/>
          <w:sz w:val="28"/>
          <w:szCs w:val="28"/>
        </w:rPr>
      </w:pPr>
      <w:r>
        <w:rPr>
          <w:rFonts w:hint="eastAsia" w:ascii="宋体" w:hAnsi="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甘肃东兴铝业公司陇西分公司（以下称甲方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（以下称乙方）就甲方</w:t>
      </w:r>
      <w:r>
        <w:rPr>
          <w:rFonts w:hint="eastAsia" w:ascii="仿宋_GB2312" w:hAnsi="仿宋_GB2312" w:eastAsia="仿宋_GB2312" w:cs="仿宋_GB2312"/>
          <w:sz w:val="32"/>
          <w:szCs w:val="32"/>
          <w:lang w:val="en-US" w:eastAsia="zh-CN"/>
        </w:rPr>
        <w:t>阳极组装作业区悬挂式输送机维修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经双方协商，达成如下技术协议：</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both"/>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一 </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总则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1.本技术规格书适用于甘肃东兴铝业有限公司陇西分公司阳极组装作业区悬挂式输送机维修项目技术要求，它提出了阳极组装作业区悬挂式输送机的性能、备件、材料等方面的技术要求及有关服务。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2.本技术规格书所提出的是最低标准的技术要求，并未对一切技术细节做出规定，也未充分引述有关标准和规范的条文，乙方应提供本技术说明和要求及满足甲方使用要求的优质备件、材料和产品。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3.本技术规格书所用的标准应与甲方现有标准一致，如因市场设备或备件升级换代，按较高标准执行。</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4.本技术规格书作为甲方设备设施外委维修合同的附件，与维修合同同时生效，具有同等法律效力。合同执行期间双方再协商形成的补充协议和追加条款也具有同等法律效力。</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auto"/>
          <w:sz w:val="32"/>
          <w:szCs w:val="32"/>
          <w:lang w:val="en-US" w:eastAsia="zh-CN"/>
        </w:rPr>
        <w:t>本项目施工所需的备件、材料均由乙方采购提供，</w:t>
      </w:r>
      <w:r>
        <w:rPr>
          <w:rFonts w:hint="eastAsia" w:ascii="仿宋_GB2312" w:hAnsi="仿宋_GB2312" w:eastAsia="仿宋_GB2312" w:cs="仿宋_GB2312"/>
          <w:sz w:val="32"/>
          <w:szCs w:val="32"/>
          <w:lang w:val="en-US" w:eastAsia="zh-CN"/>
        </w:rPr>
        <w:t>乙方提供设备维保所需的备品备件及材料必须是设备原生产厂家生产的。</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6.乙方提供的设备备品备件及材料必须是全新、规范的高质量可靠产品，大修后设备能够确保连续稳定的工作。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7.乙方提供货物的制造，材料的选择，都应按照国内外通用的现行标准和相应的技术规范执行，而这些标准和技术规范应为合同签字日为止最新公布发问的标准和技术规范。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8.乙方在合同设备设施维保中，发生侵犯专利的行为时其侵权责任与甲方无关。</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bCs/>
          <w:color w:val="000000"/>
          <w:kern w:val="0"/>
          <w:sz w:val="32"/>
          <w:szCs w:val="32"/>
          <w:lang w:val="en-US" w:eastAsia="zh-CN" w:bidi="ar"/>
        </w:rPr>
        <w:t>二、维修内容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1.对1#、2#、3#积放式悬挂输送机（WWJ6型）的牵引链条全部更换，共计约970米。</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2.对1#、2#积放式悬挂输送机的驱动装置总成及机架进行升级更换，全套更换为新式，为重型H宽轨型驱动装置总成，电机、减速机选型与原设备一致。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3.对1#、2#、3#积放式悬挂输送机的道岔、弯轨承载轨道及弯道轮、停止器、站位信号开关进行维修调整，根据磨损情况更换相应的备件，改造所用的轨道，停止器、道岔等部件和原设备必须完全一致。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4.对中控室上位控制系统进行优化升级改造，对悬链PLC控制程序进行优化；中控室升级改造具体内容：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对2台研华工控机和显示器和2台联想一体式上位机进行升级更换，并对上位机操作系统、组态软件进行优化升级。对原有的上位机监控界面重新设计，要求界面美观大方，布局合理，变量准确，通讯高速可靠，能准确的反应设备的动作状态，报警信息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sz w:val="32"/>
          <w:szCs w:val="32"/>
          <w:highlight w:val="none"/>
          <w:lang w:val="en-US" w:eastAsia="zh-CN"/>
        </w:rPr>
        <w:t xml:space="preserve">（2）根据现场实际对现运行的PLC程序进行优化，通讯线路硬件进行升级改造，提高设备运行流畅性，消除设备运行卡顿、动作信号丢失、逻辑错误等现象。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（3）配备一台14寸编程专用笔记本电脑，用于检维修人员现场检查故障和程序调试使用，系统安装与现场匹配的PLC编程软件。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i w:val="0"/>
          <w:color w:val="000000"/>
          <w:kern w:val="0"/>
          <w:sz w:val="32"/>
          <w:szCs w:val="32"/>
          <w:u w:val="none"/>
          <w:lang w:val="en-US" w:eastAsia="zh-CN" w:bidi="ar"/>
        </w:rPr>
        <w:t>上述内容所设计备件材料</w:t>
      </w:r>
      <w:r>
        <w:rPr>
          <w:rFonts w:hint="eastAsia" w:ascii="仿宋_GB2312" w:hAnsi="仿宋_GB2312" w:eastAsia="仿宋_GB2312" w:cs="仿宋_GB2312"/>
          <w:b/>
          <w:bCs/>
          <w:i w:val="0"/>
          <w:color w:val="000000"/>
          <w:kern w:val="0"/>
          <w:sz w:val="32"/>
          <w:szCs w:val="32"/>
          <w:u w:val="none"/>
          <w:lang w:val="en-US" w:eastAsia="zh-CN" w:bidi="ar"/>
        </w:rPr>
        <w:t>选配的电机必须为国家规定的一级能效电机，且在明显位置张贴一级能效等级标识。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三、悬挂式输送机维修备件材料清单</w:t>
      </w:r>
      <w:r>
        <w:rPr>
          <w:rFonts w:hint="eastAsia" w:ascii="仿宋_GB2312" w:hAnsi="仿宋_GB2312" w:eastAsia="仿宋_GB2312" w:cs="仿宋_GB2312"/>
          <w:b w:val="0"/>
          <w:bCs w:val="0"/>
          <w:color w:val="000000"/>
          <w:kern w:val="0"/>
          <w:sz w:val="32"/>
          <w:szCs w:val="32"/>
          <w:highlight w:val="none"/>
          <w:lang w:val="en-US" w:eastAsia="zh-CN" w:bidi="ar"/>
        </w:rPr>
        <w:t xml:space="preserve">： </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025"/>
        <w:gridCol w:w="2745"/>
        <w:gridCol w:w="11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序 号</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名    称</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规      格</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数 量</w:t>
            </w:r>
          </w:p>
        </w:tc>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牵引链</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 xml:space="preserve">X-678   </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970米</w:t>
            </w:r>
          </w:p>
        </w:tc>
        <w:tc>
          <w:tcPr>
            <w:tcW w:w="2316"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材质42GrMo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2</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驱动电机</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DRN160M4；11KW</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2台</w:t>
            </w:r>
          </w:p>
        </w:tc>
        <w:tc>
          <w:tcPr>
            <w:tcW w:w="2316" w:type="dxa"/>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bCs/>
                <w:sz w:val="20"/>
                <w:szCs w:val="20"/>
                <w:lang w:val="en-US" w:eastAsia="zh-CN"/>
              </w:rPr>
              <w:t>电动机为一级能效等级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3</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减速机</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FAF107 DRN160M4</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2台</w:t>
            </w:r>
          </w:p>
        </w:tc>
        <w:tc>
          <w:tcPr>
            <w:tcW w:w="2316" w:type="dxa"/>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4</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研华工控机、显示器</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both"/>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CPU I7 四核；固态硬盘 256G；内存8G；硬盘 1T；显示器24寸；</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2台</w:t>
            </w:r>
          </w:p>
        </w:tc>
        <w:tc>
          <w:tcPr>
            <w:tcW w:w="2316" w:type="dxa"/>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联想一体机</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both"/>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显示器 24寸；CPU  i7；内存16G；硬盘 1T；</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2台</w:t>
            </w:r>
          </w:p>
        </w:tc>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6</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笔记本电脑</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both"/>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联想thinkpad ；屏幕14寸；    cpu  i7；内存 16G；固态硬盘256G；硬盘1T；</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1台</w:t>
            </w:r>
          </w:p>
        </w:tc>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7</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其它配套辅件</w:t>
            </w:r>
          </w:p>
        </w:tc>
        <w:tc>
          <w:tcPr>
            <w:tcW w:w="62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以现场实际所需为准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07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选</w:t>
            </w:r>
            <w:r>
              <w:rPr>
                <w:rFonts w:hint="eastAsia" w:ascii="宋体" w:hAnsi="宋体" w:eastAsia="宋体" w:cs="宋体"/>
                <w:b w:val="0"/>
                <w:bCs w:val="0"/>
                <w:color w:val="auto"/>
                <w:sz w:val="20"/>
                <w:szCs w:val="20"/>
                <w:lang w:val="en-US" w:eastAsia="zh-CN"/>
              </w:rPr>
              <w:t>配的电机必须为国家规定的一级能效电机，且在明显位置张贴一级能效等级标识</w:t>
            </w:r>
          </w:p>
        </w:tc>
      </w:tr>
    </w:tbl>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四、维修技术参数及性能要求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kern w:val="0"/>
          <w:sz w:val="32"/>
          <w:szCs w:val="32"/>
          <w:highlight w:val="none"/>
          <w:lang w:val="en-US" w:eastAsia="zh-CN" w:bidi="ar-SA"/>
        </w:rPr>
      </w:pPr>
      <w:r>
        <w:rPr>
          <w:rFonts w:hint="eastAsia" w:ascii="仿宋_GB2312" w:hAnsi="仿宋_GB2312" w:eastAsia="仿宋_GB2312" w:cs="仿宋_GB2312"/>
          <w:b w:val="0"/>
          <w:kern w:val="0"/>
          <w:sz w:val="32"/>
          <w:szCs w:val="32"/>
          <w:highlight w:val="none"/>
          <w:lang w:val="en-US" w:eastAsia="zh-CN" w:bidi="ar-SA"/>
        </w:rPr>
        <w:t>1.乙方维修改造完后设备性能必须符合GB50231-2009《机械设备安装工程施工及验收通用规范》及电解铝行业相关设备要求。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2.乙方应保证维修后各项工艺质量满足现场实际使用要求，质保期内出现维修质量或备件质量等问题，由乙方负责维修只到符合相关技术要求。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最大产能：悬链输送系统满足60组/小时的输送能力；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在线产能：悬链输送系统满足在线（有其他设备参与的情况下）48组/小时的输送能力；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链速～12m/min；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设备运行平稳，无卡阻现象；</w:t>
      </w:r>
      <w:bookmarkStart w:id="0" w:name="_GoBack"/>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各部分无不正常响声。</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lang w:val="en-US" w:eastAsia="zh-CN"/>
        </w:rPr>
        <w:t>五</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highlight w:val="none"/>
          <w:lang w:val="en-US" w:eastAsia="zh-CN"/>
        </w:rPr>
        <w:t>附加说明</w:t>
      </w:r>
    </w:p>
    <w:bookmarkEnd w:id="0"/>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1.此维修项目开标前务必详细勘察现场实际，充分了解工艺、材料以及现场实际作业现场的情况，需指定详细的专项施工方案，确保施工安全、符合工艺、不影响生产的情况方可施工。</w:t>
      </w:r>
    </w:p>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2.设备维保配件材料接收、运输到东兴铝业陇西分公司，由乙方人员负责交货。</w:t>
      </w:r>
    </w:p>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3.调试安装过程全部由乙方安排技术人员负责，甲方现场监管。</w:t>
      </w:r>
    </w:p>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乙方负责设备配件的包装，并承诺采用符合标准的保护措施进行包装，包装箱必须密闭坚固，适于海、陆、空运输。有良好的防潮、防震、防锈和防野蛮装卸的保护措施，以确保货物安全运抵用户现场。运抵用户现场时，设备外部必须保持完好和坚固的外包装。包装材料必须符合有关检验检疫的有关规定。</w:t>
      </w:r>
    </w:p>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5.货物、材料由甲乙双方的人员共同开箱检查确认，乙方承诺对其包装或其保护措施不妥引起的货物锈蚀、缺失和损坏负责。</w:t>
      </w:r>
    </w:p>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6.乙方人员在设备维保期间交通、吃、住、行费用自行负担，甲方负责办理进门手续。</w:t>
      </w:r>
    </w:p>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7.乙方现场安全管理人员须持有相关安全管理资格证（应急管理局颁发），乙方施工人员必须持有相关的特种作业操作证（登高作业证等）。</w:t>
      </w:r>
    </w:p>
    <w:p>
      <w:pPr>
        <w:keepNext w:val="0"/>
        <w:keepLines w:val="0"/>
        <w:pageBreakBefore w:val="0"/>
        <w:kinsoku/>
        <w:wordWrap/>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8.施工期间使用的吊车、板车等由乙方自行提供。</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lang w:val="en-US" w:eastAsia="zh-CN"/>
        </w:rPr>
        <w:t>六</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highlight w:val="none"/>
          <w:lang w:eastAsia="zh-CN"/>
        </w:rPr>
        <w:t>技术服务</w:t>
      </w:r>
    </w:p>
    <w:p>
      <w:pPr>
        <w:keepNext w:val="0"/>
        <w:keepLines w:val="0"/>
        <w:pageBreakBefore w:val="0"/>
        <w:widowControl w:val="0"/>
        <w:kinsoku/>
        <w:wordWrap/>
        <w:overflowPunct/>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1.乙方维护完后设备性能优于维护前，并保证分析结果在误差范围内。</w:t>
      </w:r>
    </w:p>
    <w:p>
      <w:pPr>
        <w:keepNext w:val="0"/>
        <w:keepLines w:val="0"/>
        <w:pageBreakBefore w:val="0"/>
        <w:widowControl w:val="0"/>
        <w:kinsoku/>
        <w:wordWrap/>
        <w:overflowPunct/>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2.乙方应保证原有程序的正确性。</w:t>
      </w:r>
    </w:p>
    <w:p>
      <w:pPr>
        <w:keepNext w:val="0"/>
        <w:keepLines w:val="0"/>
        <w:pageBreakBefore w:val="0"/>
        <w:widowControl w:val="0"/>
        <w:tabs>
          <w:tab w:val="left" w:pos="1080"/>
        </w:tabs>
        <w:kinsoku/>
        <w:wordWrap/>
        <w:overflowPunct/>
        <w:topLinePunct w:val="0"/>
        <w:autoSpaceDE/>
        <w:autoSpaceDN/>
        <w:bidi w:val="0"/>
        <w:snapToGrid/>
        <w:spacing w:line="60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3此项目</w:t>
      </w:r>
      <w:r>
        <w:rPr>
          <w:rFonts w:hint="eastAsia" w:ascii="仿宋_GB2312" w:hAnsi="仿宋_GB2312" w:eastAsia="仿宋_GB2312" w:cs="仿宋_GB2312"/>
          <w:color w:val="000000"/>
          <w:sz w:val="32"/>
          <w:szCs w:val="32"/>
        </w:rPr>
        <w:t>的保修期按验收合格报告签字日期算起壹年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保修期内非甲方操作错误或非自然灾害发生的设备相同故障，乙方免费修理，所发生的相关费用由乙方负责。</w:t>
      </w:r>
      <w:r>
        <w:rPr>
          <w:rFonts w:hint="eastAsia" w:ascii="仿宋_GB2312" w:hAnsi="仿宋_GB2312" w:eastAsia="仿宋_GB2312" w:cs="仿宋_GB2312"/>
          <w:color w:val="000000"/>
          <w:sz w:val="32"/>
          <w:szCs w:val="32"/>
        </w:rPr>
        <w:t>质量保证期满后，乙方保证以优惠价格向甲方提供维修配件。保修期内维修响应时间为24小时（法定工作时间），乙方维修人员达到甲方时间为48小时。</w:t>
      </w:r>
    </w:p>
    <w:p>
      <w:pPr>
        <w:keepNext w:val="0"/>
        <w:keepLines w:val="0"/>
        <w:pageBreakBefore w:val="0"/>
        <w:widowControl w:val="0"/>
        <w:tabs>
          <w:tab w:val="left" w:pos="1080"/>
        </w:tabs>
        <w:kinsoku/>
        <w:wordWrap/>
        <w:overflowPunct/>
        <w:topLinePunct w:val="0"/>
        <w:autoSpaceDE/>
        <w:autoSpaceDN/>
        <w:bidi w:val="0"/>
        <w:snapToGrid/>
        <w:spacing w:line="600" w:lineRule="exact"/>
        <w:ind w:left="0" w:firstLine="640" w:firstLineChars="200"/>
        <w:jc w:val="both"/>
        <w:textAlignment w:val="auto"/>
        <w:rPr>
          <w:rFonts w:hint="eastAsia" w:ascii="宋体" w:hAnsi="宋体" w:cs="Times New Roman"/>
          <w:sz w:val="21"/>
          <w:szCs w:val="21"/>
          <w:lang w:val="en-US" w:eastAsia="zh-CN"/>
        </w:rPr>
      </w:pPr>
      <w:r>
        <w:rPr>
          <w:rFonts w:hint="eastAsia" w:ascii="仿宋_GB2312" w:hAnsi="仿宋_GB2312" w:eastAsia="仿宋_GB2312" w:cs="仿宋_GB2312"/>
          <w:sz w:val="32"/>
          <w:szCs w:val="32"/>
          <w:lang w:val="en-US" w:eastAsia="zh-CN"/>
        </w:rPr>
        <w:t>4.乙方负责设备的维修、调试及对甲方操作人员的操作技术培训、对甲方操作人员进行专业知识培训，常规维护培训。</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lang w:val="en-US" w:eastAsia="zh-CN"/>
        </w:rPr>
        <w:t>七</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highlight w:val="none"/>
          <w:lang w:val="en-US" w:eastAsia="zh-CN"/>
        </w:rPr>
        <w:t>验收标准</w:t>
      </w:r>
    </w:p>
    <w:p>
      <w:pPr>
        <w:keepNext w:val="0"/>
        <w:keepLines w:val="0"/>
        <w:pageBreakBefore w:val="0"/>
        <w:kinsoku/>
        <w:wordWrap/>
        <w:overflowPunct/>
        <w:topLinePunct w:val="0"/>
        <w:autoSpaceDE/>
        <w:autoSpaceDN/>
        <w:bidi w:val="0"/>
        <w:snapToGrid/>
        <w:spacing w:line="600" w:lineRule="exact"/>
        <w:ind w:firstLine="640" w:firstLineChars="200"/>
        <w:jc w:val="both"/>
        <w:textAlignment w:val="auto"/>
        <w:rPr>
          <w:rFonts w:hint="eastAsia" w:ascii="仿宋" w:hAnsi="仿宋" w:eastAsia="仿宋" w:cs="仿宋"/>
          <w:sz w:val="31"/>
          <w:szCs w:val="31"/>
          <w:lang w:val="en-US" w:eastAsia="zh-CN"/>
        </w:rPr>
      </w:pPr>
      <w:r>
        <w:rPr>
          <w:rFonts w:hint="eastAsia" w:ascii="仿宋_GB2312" w:hAnsi="仿宋_GB2312" w:eastAsia="仿宋_GB2312" w:cs="仿宋_GB2312"/>
          <w:sz w:val="32"/>
          <w:szCs w:val="32"/>
          <w:lang w:val="en-US" w:eastAsia="zh-CN"/>
        </w:rPr>
        <w:t>此项目维修完毕后各项工作性能必须符合现场实际使用要求。甲方在乙方维护保养、安装、调试并运行合格后，对整体工程进行验收。以使用方与乙方签署的验收报告为准。</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lang w:val="en-US" w:eastAsia="zh-CN"/>
        </w:rPr>
        <w:t>八</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highlight w:val="none"/>
          <w:lang w:val="en-US" w:eastAsia="zh-CN"/>
        </w:rPr>
        <w:t>维修工期</w:t>
      </w:r>
      <w:r>
        <w:rPr>
          <w:rFonts w:hint="eastAsia" w:ascii="仿宋_GB2312" w:hAnsi="仿宋_GB2312" w:eastAsia="仿宋_GB2312" w:cs="仿宋_GB2312"/>
          <w:b/>
          <w:bCs w:val="0"/>
          <w:sz w:val="32"/>
          <w:szCs w:val="32"/>
          <w:highlight w:val="none"/>
          <w:lang w:eastAsia="zh-CN"/>
        </w:rPr>
        <w:t>及地点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1.维修工期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2024年6月1日至2024年8月1日前</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2.维修</w:t>
      </w:r>
      <w:r>
        <w:rPr>
          <w:rFonts w:hint="eastAsia" w:ascii="仿宋_GB2312" w:hAnsi="仿宋_GB2312" w:eastAsia="仿宋_GB2312" w:cs="仿宋_GB2312"/>
          <w:sz w:val="32"/>
          <w:szCs w:val="32"/>
          <w:highlight w:val="none"/>
          <w:lang w:eastAsia="zh-CN"/>
        </w:rPr>
        <w:t>地点：甘肃东兴铝业有限公司陇西分公司</w:t>
      </w:r>
      <w:r>
        <w:rPr>
          <w:rFonts w:hint="eastAsia" w:ascii="仿宋_GB2312" w:hAnsi="仿宋_GB2312" w:eastAsia="仿宋_GB2312" w:cs="仿宋_GB2312"/>
          <w:sz w:val="32"/>
          <w:szCs w:val="32"/>
          <w:highlight w:val="none"/>
          <w:lang w:val="en-US" w:eastAsia="zh-CN"/>
        </w:rPr>
        <w:t>净化作业区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九</w:t>
      </w:r>
      <w:r>
        <w:rPr>
          <w:rFonts w:hint="eastAsia" w:ascii="仿宋_GB2312" w:hAnsi="仿宋_GB2312" w:eastAsia="仿宋_GB2312" w:cs="仿宋_GB2312"/>
          <w:b/>
          <w:bCs/>
          <w:sz w:val="32"/>
          <w:szCs w:val="32"/>
          <w:highlight w:val="none"/>
          <w:lang w:eastAsia="zh-CN"/>
        </w:rPr>
        <w:t>、其它</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eastAsia="zh-CN"/>
        </w:rPr>
        <w:t>本协议一式陆份，甲方</w:t>
      </w:r>
      <w:r>
        <w:rPr>
          <w:rFonts w:hint="eastAsia" w:ascii="仿宋_GB2312" w:hAnsi="仿宋_GB2312" w:eastAsia="仿宋_GB2312" w:cs="仿宋_GB2312"/>
          <w:sz w:val="32"/>
          <w:szCs w:val="32"/>
          <w:highlight w:val="none"/>
          <w:lang w:val="en-US" w:eastAsia="zh-CN"/>
        </w:rPr>
        <w:t>肆</w:t>
      </w:r>
      <w:r>
        <w:rPr>
          <w:rFonts w:hint="eastAsia" w:ascii="仿宋_GB2312" w:hAnsi="仿宋_GB2312" w:eastAsia="仿宋_GB2312" w:cs="仿宋_GB2312"/>
          <w:sz w:val="32"/>
          <w:szCs w:val="32"/>
          <w:highlight w:val="none"/>
          <w:lang w:eastAsia="zh-CN"/>
        </w:rPr>
        <w:t>份，乙方</w:t>
      </w:r>
      <w:r>
        <w:rPr>
          <w:rFonts w:hint="eastAsia" w:ascii="仿宋_GB2312" w:hAnsi="仿宋_GB2312" w:eastAsia="仿宋_GB2312" w:cs="仿宋_GB2312"/>
          <w:sz w:val="32"/>
          <w:szCs w:val="32"/>
          <w:highlight w:val="none"/>
          <w:lang w:val="en-US" w:eastAsia="zh-CN"/>
        </w:rPr>
        <w:t>贰</w:t>
      </w:r>
      <w:r>
        <w:rPr>
          <w:rFonts w:hint="eastAsia" w:ascii="仿宋_GB2312" w:hAnsi="仿宋_GB2312" w:eastAsia="仿宋_GB2312" w:cs="仿宋_GB2312"/>
          <w:sz w:val="32"/>
          <w:szCs w:val="32"/>
          <w:highlight w:val="none"/>
          <w:lang w:eastAsia="zh-CN"/>
        </w:rPr>
        <w:t>份。</w:t>
      </w:r>
      <w:r>
        <w:rPr>
          <w:rFonts w:hint="eastAsia" w:ascii="仿宋_GB2312" w:hAnsi="仿宋_GB2312" w:eastAsia="仿宋_GB2312" w:cs="仿宋_GB2312"/>
          <w:sz w:val="32"/>
          <w:szCs w:val="32"/>
          <w:lang w:val="en-US" w:eastAsia="zh-CN"/>
        </w:rPr>
        <w:t>由双方代表签字盖章后生效，本协议作为合同附件，与合同具有同等的法律效力。</w:t>
      </w: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62" w:hangingChars="335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甲方：</w:t>
      </w:r>
      <w:r>
        <w:rPr>
          <w:rFonts w:hint="eastAsia" w:ascii="仿宋_GB2312" w:hAnsi="仿宋_GB2312" w:eastAsia="仿宋_GB2312" w:cs="仿宋_GB2312"/>
          <w:sz w:val="32"/>
          <w:szCs w:val="32"/>
        </w:rPr>
        <w:t>甘肃东兴铝业有限公司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乙方：</w:t>
      </w:r>
    </w:p>
    <w:p>
      <w:pPr>
        <w:keepNext w:val="0"/>
        <w:keepLines w:val="0"/>
        <w:pageBreakBefore w:val="0"/>
        <w:tabs>
          <w:tab w:val="center" w:pos="4649"/>
        </w:tabs>
        <w:kinsoku/>
        <w:wordWrap/>
        <w:overflowPunct/>
        <w:topLinePunct w:val="0"/>
        <w:autoSpaceDE/>
        <w:autoSpaceDN/>
        <w:bidi w:val="0"/>
        <w:adjustRightInd/>
        <w:snapToGrid/>
        <w:spacing w:line="600" w:lineRule="exact"/>
        <w:ind w:left="10718" w:leftChars="456" w:hanging="9760" w:hangingChars="30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陇西</w:t>
      </w:r>
      <w:r>
        <w:rPr>
          <w:rFonts w:hint="eastAsia" w:ascii="仿宋_GB2312" w:hAnsi="仿宋_GB2312" w:eastAsia="仿宋_GB2312" w:cs="仿宋_GB2312"/>
          <w:sz w:val="32"/>
          <w:szCs w:val="32"/>
          <w:lang w:eastAsia="zh-CN"/>
        </w:rPr>
        <w:t>分公司</w:t>
      </w: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62" w:hangingChars="335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法定代表人或委托代理人：        法定代表人或委托代理人：</w:t>
      </w: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62" w:hangingChars="3350"/>
        <w:rPr>
          <w:rFonts w:hint="default" w:ascii="仿宋_GB2312" w:hAnsi="仿宋_GB2312" w:eastAsia="仿宋_GB2312" w:cs="仿宋_GB2312"/>
          <w:b/>
          <w:bCs/>
          <w:sz w:val="32"/>
          <w:szCs w:val="32"/>
          <w:lang w:val="en-US" w:eastAsia="zh-CN"/>
        </w:rPr>
      </w:pPr>
    </w:p>
    <w:p>
      <w:pPr>
        <w:keepNext w:val="0"/>
        <w:keepLines w:val="0"/>
        <w:pageBreakBefore w:val="0"/>
        <w:tabs>
          <w:tab w:val="center" w:pos="4649"/>
        </w:tabs>
        <w:kinsoku/>
        <w:wordWrap/>
        <w:overflowPunct/>
        <w:topLinePunct w:val="0"/>
        <w:autoSpaceDE/>
        <w:autoSpaceDN/>
        <w:bidi w:val="0"/>
        <w:adjustRightInd/>
        <w:snapToGrid/>
        <w:spacing w:line="600" w:lineRule="exact"/>
        <w:ind w:left="10050" w:hanging="10720" w:hangingChars="3350"/>
        <w:rPr>
          <w:rFonts w:hint="eastAsia" w:ascii="仿宋_GB2312" w:hAnsi="仿宋_GB2312" w:eastAsia="仿宋_GB2312" w:cs="仿宋_GB2312"/>
          <w:sz w:val="32"/>
          <w:szCs w:val="32"/>
          <w:lang w:val="en-US" w:eastAsia="zh-CN"/>
        </w:rPr>
      </w:pPr>
    </w:p>
    <w:p>
      <w:pPr>
        <w:keepNext w:val="0"/>
        <w:keepLines w:val="0"/>
        <w:pageBreakBefore w:val="0"/>
        <w:tabs>
          <w:tab w:val="center" w:pos="4649"/>
        </w:tabs>
        <w:kinsoku/>
        <w:wordWrap/>
        <w:overflowPunct/>
        <w:topLinePunct w:val="0"/>
        <w:autoSpaceDE/>
        <w:autoSpaceDN/>
        <w:bidi w:val="0"/>
        <w:adjustRightInd/>
        <w:snapToGrid/>
        <w:spacing w:line="600" w:lineRule="exact"/>
        <w:ind w:left="10783" w:leftChars="469" w:hanging="9798" w:hangingChars="3050"/>
        <w:rPr>
          <w:rFonts w:hint="eastAsia" w:ascii="宋体" w:hAnsi="宋体"/>
          <w:color w:val="000000"/>
          <w:sz w:val="28"/>
          <w:szCs w:val="28"/>
        </w:rPr>
      </w:pPr>
      <w:r>
        <w:rPr>
          <w:rFonts w:hint="eastAsia" w:ascii="仿宋_GB2312" w:hAnsi="仿宋_GB2312" w:eastAsia="仿宋_GB2312" w:cs="仿宋_GB2312"/>
          <w:b/>
          <w:bCs/>
          <w:sz w:val="32"/>
          <w:szCs w:val="32"/>
          <w:lang w:val="en-US" w:eastAsia="zh-CN"/>
        </w:rPr>
        <w:t xml:space="preserve">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年    月    日</w:t>
      </w:r>
    </w:p>
    <w:sectPr>
      <w:footerReference r:id="rId3" w:type="default"/>
      <w:pgSz w:w="11906" w:h="16838"/>
      <w:pgMar w:top="1417" w:right="1417" w:bottom="1417" w:left="1417" w:header="851" w:footer="5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t>2</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0"/>
      <w:numFmt w:val="decimal"/>
      <w:pStyle w:val="5"/>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46335E6F"/>
    <w:multiLevelType w:val="multilevel"/>
    <w:tmpl w:val="46335E6F"/>
    <w:lvl w:ilvl="0" w:tentative="0">
      <w:start w:val="1"/>
      <w:numFmt w:val="decimal"/>
      <w:pStyle w:val="45"/>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6DE37B95"/>
    <w:multiLevelType w:val="multilevel"/>
    <w:tmpl w:val="6DE37B95"/>
    <w:lvl w:ilvl="0" w:tentative="0">
      <w:start w:val="1"/>
      <w:numFmt w:val="decimal"/>
      <w:lvlText w:val="1.4.5.%1"/>
      <w:lvlJc w:val="left"/>
      <w:pPr>
        <w:tabs>
          <w:tab w:val="left" w:pos="720"/>
        </w:tabs>
        <w:ind w:left="0" w:firstLine="0"/>
      </w:pPr>
      <w:rPr>
        <w:rFonts w:hint="eastAsia"/>
      </w:rPr>
    </w:lvl>
    <w:lvl w:ilvl="1" w:tentative="0">
      <w:start w:val="1"/>
      <w:numFmt w:val="decimal"/>
      <w:pStyle w:val="44"/>
      <w:lvlText w:val="%1.%2"/>
      <w:lvlJc w:val="left"/>
      <w:pPr>
        <w:tabs>
          <w:tab w:val="left" w:pos="360"/>
        </w:tabs>
        <w:ind w:left="0" w:firstLine="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F9"/>
    <w:rsid w:val="0001764A"/>
    <w:rsid w:val="001717F3"/>
    <w:rsid w:val="001F4C83"/>
    <w:rsid w:val="0039135A"/>
    <w:rsid w:val="00467B9A"/>
    <w:rsid w:val="00586A75"/>
    <w:rsid w:val="006B5A2B"/>
    <w:rsid w:val="00860EF9"/>
    <w:rsid w:val="00A4543B"/>
    <w:rsid w:val="00D50460"/>
    <w:rsid w:val="00DF5327"/>
    <w:rsid w:val="00E80323"/>
    <w:rsid w:val="044B1D47"/>
    <w:rsid w:val="075F4698"/>
    <w:rsid w:val="08B835BC"/>
    <w:rsid w:val="094C43A6"/>
    <w:rsid w:val="0AED2E4A"/>
    <w:rsid w:val="0C173AD0"/>
    <w:rsid w:val="0CF74F13"/>
    <w:rsid w:val="0D3F733A"/>
    <w:rsid w:val="10C8676C"/>
    <w:rsid w:val="12572764"/>
    <w:rsid w:val="12972688"/>
    <w:rsid w:val="13BA166B"/>
    <w:rsid w:val="194F2E1A"/>
    <w:rsid w:val="199D2200"/>
    <w:rsid w:val="1AE02D60"/>
    <w:rsid w:val="22404B70"/>
    <w:rsid w:val="2342143F"/>
    <w:rsid w:val="24C61FBD"/>
    <w:rsid w:val="25FD60A1"/>
    <w:rsid w:val="264D5BCC"/>
    <w:rsid w:val="2AE754BF"/>
    <w:rsid w:val="2BC40748"/>
    <w:rsid w:val="2C3F634B"/>
    <w:rsid w:val="2D577245"/>
    <w:rsid w:val="2FC3508F"/>
    <w:rsid w:val="3128737F"/>
    <w:rsid w:val="31D72130"/>
    <w:rsid w:val="32AF3FFC"/>
    <w:rsid w:val="36660DDD"/>
    <w:rsid w:val="36CD001F"/>
    <w:rsid w:val="39DC4D18"/>
    <w:rsid w:val="3C280CFE"/>
    <w:rsid w:val="3F046F4C"/>
    <w:rsid w:val="40AE4B80"/>
    <w:rsid w:val="42B17F18"/>
    <w:rsid w:val="432A392E"/>
    <w:rsid w:val="44CE0570"/>
    <w:rsid w:val="450F33CB"/>
    <w:rsid w:val="470D5913"/>
    <w:rsid w:val="48502B4E"/>
    <w:rsid w:val="4D7D3E96"/>
    <w:rsid w:val="4DB16BC6"/>
    <w:rsid w:val="52FE753B"/>
    <w:rsid w:val="57AE091C"/>
    <w:rsid w:val="5A577BF9"/>
    <w:rsid w:val="5B157EA2"/>
    <w:rsid w:val="5BCE661C"/>
    <w:rsid w:val="5F0C53C1"/>
    <w:rsid w:val="63254ABA"/>
    <w:rsid w:val="646401D8"/>
    <w:rsid w:val="673740D7"/>
    <w:rsid w:val="6741375B"/>
    <w:rsid w:val="6A3F252E"/>
    <w:rsid w:val="6A4221F5"/>
    <w:rsid w:val="6AB02FE8"/>
    <w:rsid w:val="6C321117"/>
    <w:rsid w:val="6C5850DD"/>
    <w:rsid w:val="6D161FB8"/>
    <w:rsid w:val="6D9D317F"/>
    <w:rsid w:val="6DF270BC"/>
    <w:rsid w:val="6E0C3F7E"/>
    <w:rsid w:val="6E436AC7"/>
    <w:rsid w:val="6F8653C4"/>
    <w:rsid w:val="6FAB7EE1"/>
    <w:rsid w:val="718E328B"/>
    <w:rsid w:val="770C2AEB"/>
    <w:rsid w:val="777435EA"/>
    <w:rsid w:val="7B327E88"/>
    <w:rsid w:val="7BEB4754"/>
    <w:rsid w:val="7E64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qFormat/>
    <w:uiPriority w:val="0"/>
    <w:pPr>
      <w:keepNext/>
      <w:adjustRightInd w:val="0"/>
      <w:spacing w:line="360" w:lineRule="atLeast"/>
      <w:jc w:val="left"/>
      <w:textAlignment w:val="baseline"/>
      <w:outlineLvl w:val="2"/>
    </w:pPr>
    <w:rPr>
      <w:rFonts w:ascii="Arial" w:hAnsi="Arial"/>
      <w:b/>
      <w:kern w:val="0"/>
      <w:sz w:val="28"/>
    </w:rPr>
  </w:style>
  <w:style w:type="paragraph" w:styleId="5">
    <w:name w:val="heading 4"/>
    <w:basedOn w:val="1"/>
    <w:next w:val="1"/>
    <w:qFormat/>
    <w:uiPriority w:val="0"/>
    <w:pPr>
      <w:keepNext/>
      <w:numPr>
        <w:ilvl w:val="0"/>
        <w:numId w:val="1"/>
      </w:numPr>
      <w:adjustRightInd w:val="0"/>
      <w:spacing w:line="360" w:lineRule="auto"/>
      <w:jc w:val="left"/>
      <w:textAlignment w:val="baseline"/>
      <w:outlineLvl w:val="3"/>
    </w:pPr>
    <w:rPr>
      <w:rFonts w:ascii="宋体" w:hAnsi="宋体"/>
      <w:b/>
      <w:sz w:val="24"/>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6">
    <w:name w:val="Body Text"/>
    <w:basedOn w:val="1"/>
    <w:next w:val="1"/>
    <w:qFormat/>
    <w:uiPriority w:val="0"/>
    <w:pPr>
      <w:spacing w:after="120"/>
    </w:pPr>
    <w:rPr>
      <w:szCs w:val="24"/>
    </w:rPr>
  </w:style>
  <w:style w:type="paragraph" w:styleId="7">
    <w:name w:val="footer"/>
    <w:basedOn w:val="1"/>
    <w:link w:val="43"/>
    <w:qFormat/>
    <w:uiPriority w:val="99"/>
    <w:pPr>
      <w:tabs>
        <w:tab w:val="center" w:pos="4153"/>
        <w:tab w:val="right" w:pos="8306"/>
      </w:tabs>
      <w:snapToGrid w:val="0"/>
      <w:jc w:val="left"/>
    </w:pPr>
    <w:rPr>
      <w:kern w:val="0"/>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rPr>
  </w:style>
  <w:style w:type="character" w:styleId="11">
    <w:name w:val="Strong"/>
    <w:qFormat/>
    <w:uiPriority w:val="0"/>
  </w:style>
  <w:style w:type="character" w:styleId="12">
    <w:name w:val="page number"/>
    <w:basedOn w:val="10"/>
    <w:qFormat/>
    <w:uiPriority w:val="0"/>
  </w:style>
  <w:style w:type="character" w:styleId="13">
    <w:name w:val="FollowedHyperlink"/>
    <w:qFormat/>
    <w:uiPriority w:val="0"/>
    <w:rPr>
      <w:color w:val="0066CC"/>
      <w:u w:val="none"/>
    </w:rPr>
  </w:style>
  <w:style w:type="character" w:styleId="14">
    <w:name w:val="Emphasis"/>
    <w:qFormat/>
    <w:uiPriority w:val="0"/>
  </w:style>
  <w:style w:type="character" w:styleId="15">
    <w:name w:val="HTML Definition"/>
    <w:qFormat/>
    <w:uiPriority w:val="0"/>
  </w:style>
  <w:style w:type="character" w:styleId="16">
    <w:name w:val="HTML Variable"/>
    <w:qFormat/>
    <w:uiPriority w:val="0"/>
  </w:style>
  <w:style w:type="character" w:styleId="17">
    <w:name w:val="Hyperlink"/>
    <w:qFormat/>
    <w:uiPriority w:val="0"/>
    <w:rPr>
      <w:color w:val="0066CC"/>
      <w:u w:val="none"/>
    </w:rPr>
  </w:style>
  <w:style w:type="character" w:styleId="18">
    <w:name w:val="HTML Code"/>
    <w:qFormat/>
    <w:uiPriority w:val="0"/>
    <w:rPr>
      <w:rFonts w:ascii="Courier New" w:hAnsi="Courier New"/>
      <w:sz w:val="20"/>
    </w:rPr>
  </w:style>
  <w:style w:type="character" w:styleId="19">
    <w:name w:val="HTML Cite"/>
    <w:qFormat/>
    <w:uiPriority w:val="0"/>
  </w:style>
  <w:style w:type="character" w:customStyle="1" w:styleId="20">
    <w:name w:val="number14"/>
    <w:qFormat/>
    <w:uiPriority w:val="0"/>
    <w:rPr>
      <w:sz w:val="16"/>
      <w:szCs w:val="16"/>
    </w:rPr>
  </w:style>
  <w:style w:type="character" w:customStyle="1" w:styleId="21">
    <w:name w:val="number12"/>
    <w:basedOn w:val="10"/>
    <w:qFormat/>
    <w:uiPriority w:val="0"/>
  </w:style>
  <w:style w:type="character" w:customStyle="1" w:styleId="22">
    <w:name w:val="not-empty2"/>
    <w:basedOn w:val="10"/>
    <w:qFormat/>
    <w:uiPriority w:val="0"/>
  </w:style>
  <w:style w:type="character" w:customStyle="1" w:styleId="23">
    <w:name w:val="number11"/>
    <w:qFormat/>
    <w:uiPriority w:val="0"/>
    <w:rPr>
      <w:rFonts w:ascii="Arial" w:hAnsi="Arial" w:cs="Arial"/>
      <w:color w:val="AAAAAA"/>
      <w:sz w:val="16"/>
      <w:szCs w:val="16"/>
    </w:rPr>
  </w:style>
  <w:style w:type="character" w:customStyle="1" w:styleId="24">
    <w:name w:val="l-btn-text9"/>
    <w:basedOn w:val="10"/>
    <w:qFormat/>
    <w:uiPriority w:val="0"/>
  </w:style>
  <w:style w:type="character" w:customStyle="1" w:styleId="25">
    <w:name w:val="number10"/>
    <w:qFormat/>
    <w:uiPriority w:val="0"/>
    <w:rPr>
      <w:color w:val="FFFFFF"/>
    </w:rPr>
  </w:style>
  <w:style w:type="character" w:customStyle="1" w:styleId="26">
    <w:name w:val="active10"/>
    <w:basedOn w:val="10"/>
    <w:qFormat/>
    <w:uiPriority w:val="0"/>
  </w:style>
  <w:style w:type="character" w:customStyle="1" w:styleId="27">
    <w:name w:val="l-btn-left2"/>
    <w:basedOn w:val="10"/>
    <w:qFormat/>
    <w:uiPriority w:val="0"/>
  </w:style>
  <w:style w:type="character" w:customStyle="1" w:styleId="28">
    <w:name w:val="l-btn-left1"/>
    <w:basedOn w:val="10"/>
    <w:qFormat/>
    <w:uiPriority w:val="0"/>
  </w:style>
  <w:style w:type="character" w:customStyle="1" w:styleId="29">
    <w:name w:val="l-btn-icon-right"/>
    <w:basedOn w:val="10"/>
    <w:qFormat/>
    <w:uiPriority w:val="0"/>
  </w:style>
  <w:style w:type="character" w:customStyle="1" w:styleId="30">
    <w:name w:val="uploadify-button-text"/>
    <w:basedOn w:val="10"/>
    <w:qFormat/>
    <w:uiPriority w:val="0"/>
  </w:style>
  <w:style w:type="character" w:customStyle="1" w:styleId="31">
    <w:name w:val="l-btn-icon-left"/>
    <w:basedOn w:val="10"/>
    <w:qFormat/>
    <w:uiPriority w:val="0"/>
  </w:style>
  <w:style w:type="character" w:customStyle="1" w:styleId="32">
    <w:name w:val="inside-toolbar6"/>
    <w:basedOn w:val="10"/>
    <w:qFormat/>
    <w:uiPriority w:val="0"/>
  </w:style>
  <w:style w:type="character" w:customStyle="1" w:styleId="33">
    <w:name w:val="l-btn-left"/>
    <w:basedOn w:val="10"/>
    <w:qFormat/>
    <w:uiPriority w:val="0"/>
  </w:style>
  <w:style w:type="character" w:customStyle="1" w:styleId="34">
    <w:name w:val="inside-toolbar"/>
    <w:basedOn w:val="10"/>
    <w:qFormat/>
    <w:uiPriority w:val="0"/>
  </w:style>
  <w:style w:type="character" w:customStyle="1" w:styleId="35">
    <w:name w:val="l-btn-text8"/>
    <w:qFormat/>
    <w:uiPriority w:val="0"/>
    <w:rPr>
      <w:sz w:val="18"/>
      <w:szCs w:val="18"/>
    </w:rPr>
  </w:style>
  <w:style w:type="character" w:customStyle="1" w:styleId="36">
    <w:name w:val="l-btn-left4"/>
    <w:basedOn w:val="10"/>
    <w:qFormat/>
    <w:uiPriority w:val="0"/>
  </w:style>
  <w:style w:type="character" w:customStyle="1" w:styleId="37">
    <w:name w:val="signin"/>
    <w:basedOn w:val="10"/>
    <w:qFormat/>
    <w:uiPriority w:val="0"/>
  </w:style>
  <w:style w:type="character" w:customStyle="1" w:styleId="38">
    <w:name w:val="l-btn-left3"/>
    <w:basedOn w:val="10"/>
    <w:qFormat/>
    <w:uiPriority w:val="0"/>
  </w:style>
  <w:style w:type="character" w:customStyle="1" w:styleId="39">
    <w:name w:val="l-btn-empty"/>
    <w:basedOn w:val="10"/>
    <w:qFormat/>
    <w:uiPriority w:val="0"/>
  </w:style>
  <w:style w:type="character" w:customStyle="1" w:styleId="40">
    <w:name w:val="number13"/>
    <w:qFormat/>
    <w:uiPriority w:val="0"/>
    <w:rPr>
      <w:color w:val="CCCCCC"/>
    </w:rPr>
  </w:style>
  <w:style w:type="paragraph" w:customStyle="1" w:styleId="41">
    <w:name w:val="样式1"/>
    <w:basedOn w:val="1"/>
    <w:qFormat/>
    <w:uiPriority w:val="0"/>
    <w:pPr>
      <w:adjustRightInd w:val="0"/>
      <w:spacing w:line="420" w:lineRule="auto"/>
      <w:jc w:val="center"/>
      <w:textAlignment w:val="baseline"/>
    </w:pPr>
    <w:rPr>
      <w:rFonts w:ascii="宋体"/>
      <w:kern w:val="0"/>
      <w:sz w:val="24"/>
    </w:rPr>
  </w:style>
  <w:style w:type="paragraph" w:customStyle="1" w:styleId="42">
    <w:name w:val="1.1.1.1"/>
    <w:basedOn w:val="1"/>
    <w:qFormat/>
    <w:uiPriority w:val="0"/>
    <w:pPr>
      <w:autoSpaceDE w:val="0"/>
      <w:autoSpaceDN w:val="0"/>
      <w:adjustRightInd w:val="0"/>
      <w:spacing w:before="60" w:after="60" w:line="360" w:lineRule="atLeast"/>
      <w:ind w:left="1134" w:hanging="1134"/>
    </w:pPr>
    <w:rPr>
      <w:rFonts w:ascii="Arial" w:hAnsi="Arial"/>
      <w:kern w:val="0"/>
      <w:sz w:val="24"/>
    </w:rPr>
  </w:style>
  <w:style w:type="character" w:customStyle="1" w:styleId="43">
    <w:name w:val="Footer Char"/>
    <w:link w:val="7"/>
    <w:qFormat/>
    <w:uiPriority w:val="99"/>
    <w:rPr>
      <w:sz w:val="18"/>
      <w:szCs w:val="22"/>
    </w:rPr>
  </w:style>
  <w:style w:type="paragraph" w:customStyle="1" w:styleId="44">
    <w:name w:val="引言二级条标题"/>
    <w:basedOn w:val="45"/>
    <w:next w:val="46"/>
    <w:qFormat/>
    <w:uiPriority w:val="0"/>
    <w:pPr>
      <w:numPr>
        <w:ilvl w:val="1"/>
        <w:numId w:val="2"/>
      </w:numPr>
    </w:pPr>
  </w:style>
  <w:style w:type="paragraph" w:customStyle="1" w:styleId="45">
    <w:name w:val="引言一级条标题"/>
    <w:basedOn w:val="1"/>
    <w:next w:val="46"/>
    <w:qFormat/>
    <w:uiPriority w:val="0"/>
    <w:pPr>
      <w:numPr>
        <w:ilvl w:val="0"/>
        <w:numId w:val="3"/>
      </w:numPr>
    </w:pPr>
    <w:rPr>
      <w:rFonts w:eastAsia="黑体"/>
      <w:b/>
    </w:rPr>
  </w:style>
  <w:style w:type="paragraph" w:customStyle="1" w:styleId="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4347</Words>
  <Characters>4510</Characters>
  <Lines>38</Lines>
  <Paragraphs>10</Paragraphs>
  <TotalTime>0</TotalTime>
  <ScaleCrop>false</ScaleCrop>
  <LinksUpToDate>false</LinksUpToDate>
  <CharactersWithSpaces>4889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2024-03-15T09:58:00Z</dcterms:created>
  <dc:creator>Administrator</dc:creator>
  <cp:lastModifiedBy>yangl</cp:lastModifiedBy>
  <dcterms:modified xsi:type="dcterms:W3CDTF">2024-05-09T09:35:46Z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