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华文中宋" w:hAnsi="华文中宋" w:eastAsia="华文中宋" w:cs="华文中宋"/>
          <w:b w:val="0"/>
          <w:bCs w:val="0"/>
          <w:color w:val="auto"/>
          <w:sz w:val="36"/>
          <w:szCs w:val="36"/>
        </w:rPr>
      </w:pPr>
      <w:bookmarkStart w:id="0" w:name="_Toc427896791"/>
      <w:r>
        <w:rPr>
          <w:rFonts w:hint="eastAsia" w:ascii="华文中宋" w:hAnsi="华文中宋" w:eastAsia="华文中宋" w:cs="华文中宋"/>
          <w:b w:val="0"/>
          <w:bCs w:val="0"/>
          <w:color w:val="auto"/>
          <w:sz w:val="36"/>
          <w:szCs w:val="36"/>
        </w:rPr>
        <w:t>甘肃润源环境资源科技有限公司铝渣处理分厂</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华文中宋" w:hAnsi="华文中宋" w:eastAsia="华文中宋" w:cs="华文中宋"/>
          <w:b w:val="0"/>
          <w:bCs w:val="0"/>
          <w:color w:val="auto"/>
          <w:sz w:val="36"/>
          <w:szCs w:val="36"/>
          <w:lang w:val="en-US" w:eastAsia="zh-CN"/>
        </w:rPr>
      </w:pPr>
      <w:r>
        <w:rPr>
          <w:rFonts w:hint="eastAsia" w:ascii="华文中宋" w:hAnsi="华文中宋" w:eastAsia="华文中宋" w:cs="华文中宋"/>
          <w:b w:val="0"/>
          <w:bCs w:val="0"/>
          <w:color w:val="auto"/>
          <w:sz w:val="36"/>
          <w:szCs w:val="36"/>
        </w:rPr>
        <w:t>环保</w:t>
      </w:r>
      <w:r>
        <w:rPr>
          <w:rFonts w:hint="eastAsia" w:ascii="华文中宋" w:hAnsi="华文中宋" w:eastAsia="华文中宋" w:cs="华文中宋"/>
          <w:b w:val="0"/>
          <w:bCs w:val="0"/>
          <w:color w:val="auto"/>
          <w:sz w:val="36"/>
          <w:szCs w:val="36"/>
          <w:lang w:val="en-US" w:eastAsia="zh-CN"/>
        </w:rPr>
        <w:t>自动监控设备安装项目</w:t>
      </w:r>
      <w:r>
        <w:rPr>
          <w:rFonts w:hint="eastAsia" w:ascii="华文中宋" w:hAnsi="华文中宋" w:eastAsia="华文中宋" w:cs="华文中宋"/>
          <w:b w:val="0"/>
          <w:bCs w:val="0"/>
          <w:color w:val="auto"/>
          <w:sz w:val="36"/>
          <w:szCs w:val="36"/>
        </w:rPr>
        <w:t>技术协议</w:t>
      </w:r>
    </w:p>
    <w:p>
      <w:pPr>
        <w:spacing w:line="480" w:lineRule="auto"/>
        <w:jc w:val="center"/>
        <w:rPr>
          <w:rFonts w:hint="eastAsia" w:ascii="黑体" w:hAnsi="黑体" w:eastAsia="黑体"/>
          <w:b w:val="0"/>
          <w:bCs/>
          <w:color w:val="auto"/>
          <w:sz w:val="32"/>
          <w:szCs w:val="32"/>
        </w:rPr>
      </w:pPr>
    </w:p>
    <w:p>
      <w:pPr>
        <w:spacing w:line="480" w:lineRule="auto"/>
        <w:jc w:val="center"/>
        <w:rPr>
          <w:rFonts w:ascii="黑体" w:hAnsi="黑体" w:eastAsia="黑体"/>
          <w:b w:val="0"/>
          <w:bCs/>
          <w:color w:val="auto"/>
          <w:sz w:val="32"/>
          <w:szCs w:val="32"/>
        </w:rPr>
      </w:pPr>
    </w:p>
    <w:p>
      <w:pPr>
        <w:spacing w:line="360" w:lineRule="auto"/>
        <w:jc w:val="center"/>
        <w:rPr>
          <w:rFonts w:ascii="黑体" w:hAnsi="黑体" w:eastAsia="黑体"/>
          <w:b w:val="0"/>
          <w:bCs/>
          <w:color w:val="auto"/>
          <w:sz w:val="48"/>
          <w:szCs w:val="48"/>
        </w:rPr>
      </w:pPr>
    </w:p>
    <w:p>
      <w:pPr>
        <w:spacing w:line="360" w:lineRule="auto"/>
        <w:rPr>
          <w:rFonts w:ascii="黑体" w:hAnsi="黑体" w:eastAsia="黑体"/>
          <w:b/>
          <w:bCs/>
          <w:color w:val="auto"/>
          <w:sz w:val="48"/>
          <w:szCs w:val="48"/>
        </w:rPr>
      </w:pPr>
    </w:p>
    <w:p>
      <w:pPr>
        <w:spacing w:line="360" w:lineRule="auto"/>
        <w:rPr>
          <w:rFonts w:ascii="黑体" w:hAnsi="黑体" w:eastAsia="黑体"/>
          <w:b/>
          <w:bCs/>
          <w:color w:val="auto"/>
          <w:sz w:val="48"/>
          <w:szCs w:val="48"/>
        </w:rPr>
      </w:pPr>
    </w:p>
    <w:p>
      <w:pPr>
        <w:spacing w:line="360" w:lineRule="auto"/>
        <w:jc w:val="center"/>
        <w:rPr>
          <w:rFonts w:ascii="黑体" w:hAnsi="黑体" w:eastAsia="黑体"/>
          <w:color w:val="auto"/>
          <w:spacing w:val="-8"/>
          <w:sz w:val="28"/>
        </w:rPr>
      </w:pPr>
      <w:bookmarkStart w:id="29" w:name="_GoBack"/>
      <w:bookmarkEnd w:id="29"/>
    </w:p>
    <w:p>
      <w:pPr>
        <w:spacing w:line="360" w:lineRule="auto"/>
        <w:jc w:val="center"/>
        <w:rPr>
          <w:rFonts w:ascii="黑体" w:hAnsi="黑体" w:eastAsia="黑体"/>
          <w:color w:val="auto"/>
          <w:spacing w:val="-8"/>
          <w:sz w:val="28"/>
        </w:rPr>
      </w:pPr>
    </w:p>
    <w:p>
      <w:pPr>
        <w:spacing w:line="360" w:lineRule="auto"/>
        <w:jc w:val="center"/>
        <w:rPr>
          <w:rFonts w:ascii="黑体" w:hAnsi="黑体" w:eastAsia="黑体"/>
          <w:color w:val="auto"/>
          <w:spacing w:val="-8"/>
          <w:sz w:val="28"/>
        </w:rPr>
      </w:pPr>
    </w:p>
    <w:p>
      <w:pPr>
        <w:pStyle w:val="2"/>
        <w:rPr>
          <w:rFonts w:ascii="黑体" w:hAnsi="黑体" w:eastAsia="黑体"/>
          <w:color w:val="auto"/>
          <w:spacing w:val="-8"/>
          <w:sz w:val="28"/>
        </w:rPr>
      </w:pPr>
    </w:p>
    <w:p>
      <w:pPr>
        <w:pStyle w:val="2"/>
        <w:rPr>
          <w:rFonts w:ascii="黑体" w:hAnsi="黑体" w:eastAsia="黑体"/>
          <w:color w:val="auto"/>
          <w:spacing w:val="-8"/>
          <w:sz w:val="28"/>
        </w:rPr>
      </w:pPr>
    </w:p>
    <w:p>
      <w:pPr>
        <w:pStyle w:val="2"/>
        <w:rPr>
          <w:rFonts w:ascii="黑体" w:hAnsi="黑体" w:eastAsia="黑体"/>
          <w:color w:val="auto"/>
          <w:spacing w:val="-8"/>
          <w:sz w:val="28"/>
        </w:rPr>
      </w:pPr>
    </w:p>
    <w:p>
      <w:pPr>
        <w:pStyle w:val="2"/>
        <w:rPr>
          <w:rFonts w:ascii="黑体" w:hAnsi="黑体" w:eastAsia="黑体"/>
          <w:color w:val="auto"/>
          <w:spacing w:val="-8"/>
          <w:sz w:val="28"/>
        </w:rPr>
      </w:pPr>
    </w:p>
    <w:p>
      <w:pPr>
        <w:spacing w:line="360" w:lineRule="auto"/>
        <w:jc w:val="center"/>
        <w:rPr>
          <w:rFonts w:ascii="黑体" w:hAnsi="黑体" w:eastAsia="黑体"/>
          <w:color w:val="auto"/>
          <w:spacing w:val="-8"/>
          <w:sz w:val="28"/>
        </w:rPr>
      </w:pPr>
    </w:p>
    <w:p>
      <w:pPr>
        <w:spacing w:line="360" w:lineRule="auto"/>
        <w:jc w:val="center"/>
        <w:rPr>
          <w:rFonts w:ascii="黑体" w:hAnsi="黑体" w:eastAsia="黑体"/>
          <w:color w:val="auto"/>
          <w:spacing w:val="-8"/>
          <w:sz w:val="28"/>
        </w:rPr>
      </w:pPr>
    </w:p>
    <w:p>
      <w:pPr>
        <w:pStyle w:val="2"/>
        <w:rPr>
          <w:color w:val="auto"/>
        </w:rPr>
      </w:pPr>
    </w:p>
    <w:p>
      <w:pPr>
        <w:spacing w:line="360" w:lineRule="auto"/>
        <w:ind w:firstLine="1285" w:firstLineChars="400"/>
        <w:rPr>
          <w:rFonts w:hint="default" w:eastAsia="宋体"/>
          <w:b/>
          <w:bCs/>
          <w:color w:val="auto"/>
          <w:sz w:val="32"/>
          <w:lang w:val="en-US" w:eastAsia="zh-CN"/>
        </w:rPr>
      </w:pPr>
      <w:r>
        <w:rPr>
          <w:rFonts w:hint="eastAsia"/>
          <w:b/>
          <w:bCs/>
          <w:color w:val="auto"/>
          <w:sz w:val="32"/>
          <w:lang w:val="en-US" w:eastAsia="zh-CN"/>
        </w:rPr>
        <w:t>甲方</w:t>
      </w:r>
      <w:r>
        <w:rPr>
          <w:rFonts w:hint="eastAsia"/>
          <w:b/>
          <w:bCs/>
          <w:color w:val="auto"/>
          <w:sz w:val="32"/>
        </w:rPr>
        <w:t>：</w:t>
      </w:r>
      <w:r>
        <w:rPr>
          <w:rFonts w:hint="eastAsia" w:ascii="仿宋_GB2312" w:hAnsi="仿宋_GB2312" w:eastAsia="仿宋_GB2312" w:cs="仿宋_GB2312"/>
          <w:b w:val="0"/>
          <w:bCs/>
          <w:color w:val="auto"/>
          <w:spacing w:val="-8"/>
          <w:sz w:val="28"/>
          <w:szCs w:val="28"/>
          <w:u w:val="single"/>
          <w:lang w:val="en-US" w:eastAsia="zh-CN"/>
        </w:rPr>
        <w:t>甘肃润源环境资源科技有限公司</w:t>
      </w:r>
    </w:p>
    <w:p>
      <w:pPr>
        <w:spacing w:line="360" w:lineRule="auto"/>
        <w:ind w:firstLine="1285" w:firstLineChars="400"/>
        <w:rPr>
          <w:rFonts w:hint="default" w:eastAsia="宋体"/>
          <w:b/>
          <w:bCs/>
          <w:color w:val="auto"/>
          <w:sz w:val="32"/>
          <w:lang w:val="en-US" w:eastAsia="zh-CN"/>
        </w:rPr>
      </w:pPr>
      <w:r>
        <w:rPr>
          <w:rFonts w:hint="eastAsia"/>
          <w:b/>
          <w:bCs/>
          <w:color w:val="auto"/>
          <w:sz w:val="32"/>
          <w:lang w:val="en-US" w:eastAsia="zh-CN"/>
        </w:rPr>
        <w:t>乙方</w:t>
      </w:r>
      <w:r>
        <w:rPr>
          <w:rFonts w:hint="eastAsia"/>
          <w:b/>
          <w:bCs/>
          <w:color w:val="auto"/>
          <w:sz w:val="32"/>
        </w:rPr>
        <w:t>：</w:t>
      </w:r>
      <w:r>
        <w:rPr>
          <w:rFonts w:hint="eastAsia"/>
          <w:b w:val="0"/>
          <w:bCs w:val="0"/>
          <w:color w:val="auto"/>
          <w:sz w:val="32"/>
          <w:u w:val="single"/>
          <w:lang w:val="en-US" w:eastAsia="zh-CN"/>
        </w:rPr>
        <w:t xml:space="preserve">                       </w:t>
      </w:r>
    </w:p>
    <w:p>
      <w:pPr>
        <w:spacing w:line="360" w:lineRule="auto"/>
        <w:ind w:firstLine="1285" w:firstLineChars="400"/>
        <w:rPr>
          <w:rFonts w:hint="default" w:eastAsia="宋体"/>
          <w:bCs/>
          <w:color w:val="auto"/>
          <w:sz w:val="32"/>
          <w:lang w:val="en-US" w:eastAsia="zh-CN"/>
        </w:rPr>
      </w:pPr>
      <w:r>
        <w:rPr>
          <w:rFonts w:hint="eastAsia"/>
          <w:b/>
          <w:bCs/>
          <w:color w:val="auto"/>
          <w:sz w:val="32"/>
        </w:rPr>
        <w:t>签订日期：</w:t>
      </w:r>
      <w:r>
        <w:rPr>
          <w:rFonts w:hint="eastAsia"/>
          <w:b/>
          <w:bCs/>
          <w:color w:val="auto"/>
          <w:sz w:val="32"/>
          <w:lang w:val="en-US" w:eastAsia="zh-CN"/>
        </w:rPr>
        <w:t xml:space="preserve">    年    月    日</w:t>
      </w:r>
    </w:p>
    <w:p>
      <w:pPr>
        <w:pStyle w:val="2"/>
        <w:ind w:left="0" w:leftChars="0" w:firstLine="0" w:firstLineChars="0"/>
        <w:rPr>
          <w:rFonts w:hint="eastAsia"/>
          <w:color w:val="auto"/>
        </w:rPr>
      </w:pPr>
    </w:p>
    <w:p>
      <w:pPr>
        <w:keepNext w:val="0"/>
        <w:keepLines w:val="0"/>
        <w:pageBreakBefore w:val="0"/>
        <w:widowControl/>
        <w:kinsoku/>
        <w:wordWrap/>
        <w:overflowPunct/>
        <w:topLinePunct w:val="0"/>
        <w:autoSpaceDE/>
        <w:autoSpaceDN/>
        <w:bidi w:val="0"/>
        <w:adjustRightInd/>
        <w:snapToGrid/>
        <w:spacing w:line="520" w:lineRule="exact"/>
        <w:ind w:left="239" w:leftChars="114" w:firstLine="240" w:firstLineChars="100"/>
        <w:textAlignment w:val="auto"/>
        <w:rPr>
          <w:rFonts w:hint="eastAsia" w:ascii="黑体" w:hAnsi="黑体" w:eastAsia="黑体" w:cs="黑体"/>
          <w:color w:val="auto"/>
          <w:sz w:val="32"/>
          <w:szCs w:val="32"/>
          <w:lang w:val="en-US" w:eastAsia="zh-CN"/>
        </w:rPr>
      </w:pPr>
      <w:r>
        <w:rPr>
          <w:rFonts w:hint="eastAsia" w:ascii="宋体" w:hAnsi="宋体" w:eastAsia="宋体" w:cs="宋体"/>
          <w:bCs w:val="0"/>
          <w:snapToGrid/>
          <w:color w:val="auto"/>
          <w:kern w:val="2"/>
          <w:sz w:val="24"/>
          <w:szCs w:val="24"/>
          <w:lang w:val="en-US" w:eastAsia="zh-CN" w:bidi="ar-SA"/>
        </w:rPr>
        <w:t>甘肃润源环境资源科技有限公司铝渣处理分厂（以下简称甲方）与</w:t>
      </w:r>
      <w:r>
        <w:rPr>
          <w:rFonts w:hint="eastAsia" w:ascii="宋体" w:hAnsi="宋体" w:cs="宋体"/>
          <w:bCs w:val="0"/>
          <w:snapToGrid/>
          <w:color w:val="auto"/>
          <w:kern w:val="2"/>
          <w:sz w:val="24"/>
          <w:szCs w:val="24"/>
          <w:lang w:val="en-US" w:eastAsia="zh-CN" w:bidi="ar-SA"/>
        </w:rPr>
        <w:t xml:space="preserve">     </w:t>
      </w:r>
      <w:r>
        <w:rPr>
          <w:rFonts w:hint="eastAsia" w:ascii="宋体" w:hAnsi="宋体" w:eastAsia="宋体" w:cs="宋体"/>
          <w:bCs w:val="0"/>
          <w:snapToGrid/>
          <w:color w:val="auto"/>
          <w:kern w:val="2"/>
          <w:sz w:val="24"/>
          <w:szCs w:val="24"/>
          <w:lang w:val="en-US" w:eastAsia="zh-CN" w:bidi="ar-SA"/>
        </w:rPr>
        <w:t xml:space="preserve">        </w:t>
      </w:r>
      <w:r>
        <w:rPr>
          <w:rFonts w:hint="eastAsia" w:ascii="宋体" w:hAnsi="宋体" w:cs="宋体"/>
          <w:bCs w:val="0"/>
          <w:snapToGrid/>
          <w:color w:val="auto"/>
          <w:kern w:val="2"/>
          <w:sz w:val="24"/>
          <w:szCs w:val="24"/>
          <w:lang w:val="en-US" w:eastAsia="zh-CN" w:bidi="ar-SA"/>
        </w:rPr>
        <w:t>XX</w:t>
      </w:r>
      <w:r>
        <w:rPr>
          <w:rFonts w:hint="eastAsia" w:ascii="宋体" w:hAnsi="宋体" w:eastAsia="宋体" w:cs="宋体"/>
          <w:bCs w:val="0"/>
          <w:snapToGrid/>
          <w:color w:val="auto"/>
          <w:kern w:val="2"/>
          <w:sz w:val="24"/>
          <w:szCs w:val="24"/>
          <w:lang w:val="en-US" w:eastAsia="zh-CN" w:bidi="ar-SA"/>
        </w:rPr>
        <w:t>公司（以下简称乙方），就甲方环保自动监控设备安装项目，经双方协商达成如下技术协议。</w:t>
      </w:r>
      <w:bookmarkStart w:id="1" w:name="_Toc519174332"/>
    </w:p>
    <w:p>
      <w:pPr>
        <w:keepNext w:val="0"/>
        <w:keepLines w:val="0"/>
        <w:pageBreakBefore w:val="0"/>
        <w:kinsoku/>
        <w:wordWrap/>
        <w:overflowPunct/>
        <w:topLinePunct w:val="0"/>
        <w:autoSpaceDE/>
        <w:autoSpaceDN/>
        <w:bidi w:val="0"/>
        <w:adjustRightInd/>
        <w:snapToGrid/>
        <w:spacing w:line="520" w:lineRule="exact"/>
        <w:ind w:left="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一 </w:t>
      </w:r>
      <w:r>
        <w:rPr>
          <w:rFonts w:hint="eastAsia" w:ascii="黑体" w:hAnsi="黑体" w:eastAsia="黑体" w:cs="黑体"/>
          <w:color w:val="auto"/>
          <w:sz w:val="32"/>
          <w:szCs w:val="32"/>
        </w:rPr>
        <w:t>总则</w:t>
      </w:r>
      <w:bookmarkEnd w:id="0"/>
      <w:bookmarkEnd w:id="1"/>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1.1本技术协议适用于甘肃润源环境资源科技有限公司铝渣处理分厂环保自动监控设备安装项目的固定污染源烟气排放监测系统简称（CEMS），包括系统的本体及辅助设备系统的功能设计、结构、性能、安装等方面的技术要求。</w:t>
      </w:r>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1.2烟气排放连续监测系统的制造、检验和验收应按照甲方提供的设计资料和本技术协议的要求进行。</w:t>
      </w:r>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1.3乙方对所提供的烟气排放连续监测系统的制造质量、供货、技术规格、文件图纸资料、技术服务、包装运输、开箱检验、安装、设备调试、设备运行、及验收等各个环节负有完全责任。</w:t>
      </w:r>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1.4在合同执行过程中，乙方对甲方提供的技术文件的条款存在异议，应事先向甲方提出，由双方协商解决。</w:t>
      </w:r>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1.5乙方负责所安装设备接受环保主管部门进行的CEMS技术验收工作，相关测点的布置根据HJ 75标准中规定选取，分析仪装置满足当地政府生态环境部门的要求。</w:t>
      </w:r>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1.6工程联系文件、技术资料、图纸、计算、仪表刻度和文件中的计量单位应为国际计量单位(SI)制。工程中的工作语言为中文，所有的文件、图纸、设备标识等均应为中文。</w:t>
      </w:r>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default"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1.7本技术协议作为主合同附属文件，在乙方中标并签合同后生效。</w:t>
      </w:r>
    </w:p>
    <w:p>
      <w:pPr>
        <w:keepNext w:val="0"/>
        <w:keepLines w:val="0"/>
        <w:pageBreakBefore w:val="0"/>
        <w:kinsoku/>
        <w:wordWrap/>
        <w:overflowPunct/>
        <w:topLinePunct w:val="0"/>
        <w:autoSpaceDE/>
        <w:autoSpaceDN/>
        <w:bidi w:val="0"/>
        <w:adjustRightInd/>
        <w:snapToGrid/>
        <w:spacing w:line="520" w:lineRule="exact"/>
        <w:ind w:left="0"/>
        <w:textAlignment w:val="auto"/>
        <w:rPr>
          <w:rFonts w:hint="eastAsia" w:ascii="黑体" w:hAnsi="黑体" w:eastAsia="黑体" w:cs="黑体"/>
          <w:color w:val="auto"/>
          <w:sz w:val="32"/>
          <w:szCs w:val="32"/>
          <w:lang w:val="en-US" w:eastAsia="zh-CN"/>
        </w:rPr>
      </w:pPr>
      <w:bookmarkStart w:id="2" w:name="_Toc519174333"/>
      <w:bookmarkStart w:id="3" w:name="_Toc304909009"/>
      <w:bookmarkStart w:id="4" w:name="_Toc299023855"/>
      <w:bookmarkStart w:id="5" w:name="_Toc299024610"/>
      <w:bookmarkStart w:id="6" w:name="_Toc299024746"/>
      <w:bookmarkStart w:id="7" w:name="_Toc299024938"/>
      <w:bookmarkStart w:id="8" w:name="_Toc304908769"/>
      <w:bookmarkStart w:id="9" w:name="_Toc427896792"/>
      <w:bookmarkStart w:id="10" w:name="_Toc299024648"/>
      <w:bookmarkStart w:id="11" w:name="_Toc299024699"/>
      <w:r>
        <w:rPr>
          <w:rFonts w:hint="eastAsia" w:ascii="黑体" w:hAnsi="黑体" w:eastAsia="黑体" w:cs="黑体"/>
          <w:color w:val="auto"/>
          <w:sz w:val="32"/>
          <w:szCs w:val="32"/>
          <w:lang w:val="en-US" w:eastAsia="zh-CN"/>
        </w:rPr>
        <w:t>二 标准规范</w:t>
      </w:r>
      <w:bookmarkEnd w:id="2"/>
      <w:bookmarkEnd w:id="3"/>
      <w:bookmarkEnd w:id="4"/>
      <w:bookmarkEnd w:id="5"/>
      <w:bookmarkEnd w:id="6"/>
      <w:bookmarkEnd w:id="7"/>
      <w:bookmarkEnd w:id="8"/>
      <w:bookmarkEnd w:id="9"/>
      <w:bookmarkEnd w:id="10"/>
      <w:bookmarkEnd w:id="11"/>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烟气排放连续监测系统及其附属设备的设计和制造，符合现行的有关国家标准、原部颁标准及地方环保局的规定。这些标准和规范至少包括：</w:t>
      </w:r>
    </w:p>
    <w:tbl>
      <w:tblPr>
        <w:tblStyle w:val="20"/>
        <w:tblW w:w="9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9"/>
        <w:gridCol w:w="2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79"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《生活垃圾焚烧污染物控制标准》</w:t>
            </w:r>
          </w:p>
        </w:tc>
        <w:tc>
          <w:tcPr>
            <w:tcW w:w="2348"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GB 18485－2014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79"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《危险废物污染控制标准》</w:t>
            </w:r>
          </w:p>
        </w:tc>
        <w:tc>
          <w:tcPr>
            <w:tcW w:w="2348"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GB 18484－2020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79"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固定污染源烟气排放连续监测技术规范</w:t>
            </w:r>
          </w:p>
        </w:tc>
        <w:tc>
          <w:tcPr>
            <w:tcW w:w="2348"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 xml:space="preserve">HJ 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79"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固定污染源排放烟气连续监测系统技术条件及检测方法</w:t>
            </w:r>
          </w:p>
        </w:tc>
        <w:tc>
          <w:tcPr>
            <w:tcW w:w="2348"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HJ 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79"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污染源在线自动监控（监测）系统数据传输标准</w:t>
            </w:r>
          </w:p>
        </w:tc>
        <w:tc>
          <w:tcPr>
            <w:tcW w:w="2348"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HJ 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879"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《固定污染源废气低浓度排放监测技术规范》</w:t>
            </w:r>
          </w:p>
        </w:tc>
        <w:tc>
          <w:tcPr>
            <w:tcW w:w="2348"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DB37T 2706－2015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79"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《锅炉大气污染物排放标准》</w:t>
            </w:r>
          </w:p>
        </w:tc>
        <w:tc>
          <w:tcPr>
            <w:tcW w:w="2348"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DB-201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79"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《大气污染物综合排放标准》</w:t>
            </w:r>
          </w:p>
        </w:tc>
        <w:tc>
          <w:tcPr>
            <w:tcW w:w="2348"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GB 16297-1996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79"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《危险废物污染控制标准》</w:t>
            </w:r>
          </w:p>
        </w:tc>
        <w:tc>
          <w:tcPr>
            <w:tcW w:w="2348" w:type="dxa"/>
          </w:tcPr>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GB 18484－2020</w:t>
            </w:r>
          </w:p>
        </w:tc>
      </w:tr>
    </w:tbl>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乙方严格按照本规范书所列标准执行。在乙方生产制造前，若所使用的标准与上述标准有不一致时,按较高标准执行，并及时通告甲方。</w:t>
      </w:r>
    </w:p>
    <w:p>
      <w:pPr>
        <w:pStyle w:val="2"/>
        <w:keepNext w:val="0"/>
        <w:keepLines w:val="0"/>
        <w:pageBreakBefore w:val="0"/>
        <w:widowControl/>
        <w:numPr>
          <w:numId w:val="0"/>
        </w:numPr>
        <w:kinsoku/>
        <w:wordWrap/>
        <w:overflowPunct/>
        <w:topLinePunct w:val="0"/>
        <w:autoSpaceDE/>
        <w:autoSpaceDN/>
        <w:bidi w:val="0"/>
        <w:adjustRightInd/>
        <w:snapToGrid/>
        <w:spacing w:line="500" w:lineRule="exact"/>
        <w:ind w:leftChars="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三 项目概况</w:t>
      </w:r>
    </w:p>
    <w:p>
      <w:pPr>
        <w:pStyle w:val="2"/>
        <w:keepNext w:val="0"/>
        <w:keepLines w:val="0"/>
        <w:pageBreakBefore w:val="0"/>
        <w:widowControl/>
        <w:kinsoku/>
        <w:wordWrap/>
        <w:overflowPunct/>
        <w:topLinePunct w:val="0"/>
        <w:autoSpaceDE/>
        <w:autoSpaceDN/>
        <w:bidi w:val="0"/>
        <w:adjustRightInd/>
        <w:snapToGrid/>
        <w:spacing w:line="600" w:lineRule="exact"/>
        <w:ind w:left="0" w:firstLine="480" w:firstLineChars="20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根据生态环境部《关于做好重点单位自动监控安装联网相关工作的通知》、《甘肃省2022年重点排污单位名录》 《嘉峪关市生态环境局关于做好新增重点排污单位自动监控安装联网相关工作的通知》等相关文件，对重点排污单位单位进行自动监测设备安装联网及数据传输等方面提出约束性要求，我厂被列入嘉峪关市2022年新增重点排污单位名单。需在2022年11月底前完成自动监控设备安装联网工作经与环保局沟通，需安装两套烟气在线监测设备。</w:t>
      </w:r>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3.1平台高度：12米</w:t>
      </w:r>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3.2主要污染物：颗粒物、HCL</w:t>
      </w:r>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3.3主要污染物排放标准：颗粒物——————120㎎/m³</w:t>
      </w:r>
    </w:p>
    <w:p>
      <w:pPr>
        <w:pStyle w:val="2"/>
        <w:keepNext w:val="0"/>
        <w:keepLines w:val="0"/>
        <w:pageBreakBefore w:val="0"/>
        <w:widowControl/>
        <w:kinsoku/>
        <w:wordWrap/>
        <w:overflowPunct/>
        <w:topLinePunct w:val="0"/>
        <w:autoSpaceDE/>
        <w:autoSpaceDN/>
        <w:bidi w:val="0"/>
        <w:adjustRightInd/>
        <w:snapToGrid/>
        <w:spacing w:line="500" w:lineRule="exact"/>
        <w:ind w:left="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 xml:space="preserve">                      HCL——————150㎎/m³</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360" w:firstLineChars="150"/>
        <w:textAlignment w:val="auto"/>
        <w:rPr>
          <w:rFonts w:hint="eastAsia" w:ascii="宋体" w:hAnsi="宋体" w:eastAsia="宋体" w:cs="宋体"/>
          <w:bCs w:val="0"/>
          <w:snapToGrid/>
          <w:color w:val="auto"/>
          <w:kern w:val="2"/>
          <w:sz w:val="24"/>
          <w:szCs w:val="24"/>
          <w:lang w:val="en-US" w:eastAsia="zh-CN" w:bidi="ar-SA"/>
        </w:rPr>
      </w:pPr>
      <w:r>
        <w:rPr>
          <w:rFonts w:hint="eastAsia" w:ascii="宋体" w:hAnsi="宋体" w:eastAsia="宋体" w:cs="宋体"/>
          <w:bCs w:val="0"/>
          <w:snapToGrid/>
          <w:color w:val="auto"/>
          <w:kern w:val="2"/>
          <w:sz w:val="24"/>
          <w:szCs w:val="24"/>
          <w:lang w:val="en-US" w:eastAsia="zh-CN" w:bidi="ar-SA"/>
        </w:rPr>
        <w:t>3.4测量点：除主要污染物外，其他环保要求所必须的监测参数。</w:t>
      </w:r>
    </w:p>
    <w:p>
      <w:pPr>
        <w:pStyle w:val="4"/>
        <w:numPr>
          <w:ilvl w:val="1"/>
          <w:numId w:val="0"/>
        </w:numPr>
        <w:ind w:leftChars="0"/>
        <w:rPr>
          <w:rFonts w:hint="eastAsia"/>
          <w:sz w:val="30"/>
          <w:szCs w:val="30"/>
        </w:rPr>
      </w:pPr>
      <w:r>
        <w:rPr>
          <w:rFonts w:hint="eastAsia"/>
          <w:sz w:val="30"/>
          <w:szCs w:val="30"/>
          <w:lang w:val="en-US" w:eastAsia="zh-CN"/>
        </w:rPr>
        <w:t>四</w:t>
      </w:r>
      <w:r>
        <w:rPr>
          <w:rFonts w:hint="eastAsia"/>
          <w:sz w:val="30"/>
          <w:szCs w:val="30"/>
        </w:rPr>
        <w:t xml:space="preserve"> 施工</w:t>
      </w:r>
      <w:r>
        <w:rPr>
          <w:rFonts w:hint="eastAsia"/>
          <w:sz w:val="30"/>
          <w:szCs w:val="30"/>
          <w:lang w:eastAsia="zh-CN"/>
        </w:rPr>
        <w:t>技术</w:t>
      </w:r>
      <w:r>
        <w:rPr>
          <w:rFonts w:hint="eastAsia"/>
          <w:sz w:val="30"/>
          <w:szCs w:val="30"/>
        </w:rPr>
        <w:t>要求</w:t>
      </w:r>
    </w:p>
    <w:p>
      <w:pPr>
        <w:spacing w:line="360" w:lineRule="auto"/>
        <w:ind w:firstLine="600" w:firstLineChars="250"/>
        <w:jc w:val="left"/>
        <w:rPr>
          <w:rFonts w:hint="eastAsia" w:ascii="宋体" w:hAnsi="宋体"/>
          <w:sz w:val="24"/>
        </w:rPr>
      </w:pPr>
      <w:r>
        <w:rPr>
          <w:rFonts w:hint="eastAsia" w:ascii="宋体" w:hAnsi="宋体"/>
          <w:sz w:val="24"/>
        </w:rPr>
        <w:t>1、烟尘连续监测系统安装、线路敷设、介质管道敷设等作业符合相关设备安装规范，烟尘连续监测系统的安装、运行及维护须考虑环境温度、雨雪、烟囱振动、流速等因素，做好防护措施。连续监测装置的安装应符合</w:t>
      </w:r>
      <w:r>
        <w:rPr>
          <w:rFonts w:hint="eastAsia" w:ascii="宋体" w:hAnsi="宋体" w:cs="宋体"/>
          <w:sz w:val="24"/>
        </w:rPr>
        <w:t>《污染源自动监测设施安装建设技术要求》。</w:t>
      </w:r>
    </w:p>
    <w:p>
      <w:pPr>
        <w:spacing w:line="360" w:lineRule="auto"/>
        <w:ind w:firstLine="600" w:firstLineChars="250"/>
        <w:jc w:val="left"/>
        <w:rPr>
          <w:rFonts w:hint="eastAsia" w:ascii="宋体" w:hAnsi="宋体" w:cs="宋体"/>
          <w:sz w:val="24"/>
          <w:lang w:val="sq-AL"/>
        </w:rPr>
      </w:pPr>
      <w:r>
        <w:rPr>
          <w:rFonts w:hint="eastAsia" w:ascii="宋体" w:hAnsi="宋体"/>
          <w:sz w:val="24"/>
        </w:rPr>
        <w:t>2、</w:t>
      </w:r>
      <w:r>
        <w:rPr>
          <w:rFonts w:hint="eastAsia" w:ascii="宋体" w:hAnsi="宋体" w:cs="宋体"/>
          <w:sz w:val="24"/>
          <w:lang w:val="sq-AL"/>
        </w:rPr>
        <w:t>乙方施工过程中需遵守甲方现场各项管理制度，现场作业服从甲方管理。</w:t>
      </w:r>
      <w:r>
        <w:rPr>
          <w:rFonts w:ascii="宋体" w:hAnsi="宋体" w:cs="宋体"/>
          <w:sz w:val="24"/>
          <w:lang w:val="sq-AL"/>
        </w:rPr>
        <w:t>应</w:t>
      </w:r>
      <w:r>
        <w:rPr>
          <w:rFonts w:hint="eastAsia" w:ascii="宋体" w:hAnsi="宋体" w:cs="宋体"/>
          <w:sz w:val="24"/>
          <w:lang w:val="sq-AL"/>
        </w:rPr>
        <w:t>结合</w:t>
      </w:r>
      <w:r>
        <w:rPr>
          <w:rFonts w:ascii="宋体" w:hAnsi="宋体" w:cs="宋体"/>
          <w:sz w:val="24"/>
          <w:lang w:val="sq-AL"/>
        </w:rPr>
        <w:t>甲方</w:t>
      </w:r>
      <w:r>
        <w:rPr>
          <w:rFonts w:hint="eastAsia" w:ascii="宋体" w:hAnsi="宋体" w:cs="宋体"/>
          <w:sz w:val="24"/>
          <w:lang w:val="sq-AL"/>
        </w:rPr>
        <w:t>现场环境、</w:t>
      </w:r>
      <w:r>
        <w:rPr>
          <w:rFonts w:ascii="宋体" w:hAnsi="宋体" w:cs="宋体"/>
          <w:sz w:val="24"/>
          <w:lang w:val="sq-AL"/>
        </w:rPr>
        <w:t>工况</w:t>
      </w:r>
      <w:r>
        <w:rPr>
          <w:rFonts w:hint="eastAsia" w:ascii="宋体" w:hAnsi="宋体" w:cs="宋体"/>
          <w:sz w:val="24"/>
          <w:lang w:val="sq-AL"/>
        </w:rPr>
        <w:t>及生产节奏</w:t>
      </w:r>
      <w:r>
        <w:rPr>
          <w:rFonts w:ascii="宋体" w:hAnsi="宋体" w:cs="宋体"/>
          <w:sz w:val="24"/>
          <w:lang w:val="sq-AL"/>
        </w:rPr>
        <w:t>要求进行</w:t>
      </w:r>
      <w:r>
        <w:rPr>
          <w:rFonts w:hint="eastAsia" w:ascii="宋体" w:hAnsi="宋体" w:cs="宋体"/>
          <w:sz w:val="24"/>
          <w:lang w:val="sq-AL"/>
        </w:rPr>
        <w:t>施工，施工作业与生产组织干涉时，甲方尽量协调各种生产关系保证施工正常进行，但施工作业不得影响正常生产组织。施工时</w:t>
      </w:r>
      <w:r>
        <w:rPr>
          <w:rFonts w:hint="eastAsia" w:ascii="宋体" w:hAnsi="宋体" w:cs="宋体"/>
          <w:sz w:val="24"/>
        </w:rPr>
        <w:t>甲方指定电源，施工所需各类工器具、防护器具由乙方自行解决，</w:t>
      </w:r>
      <w:r>
        <w:rPr>
          <w:rFonts w:hint="eastAsia" w:ascii="宋体" w:hAnsi="宋体" w:cs="宋体"/>
          <w:sz w:val="24"/>
          <w:lang w:val="sq-AL"/>
        </w:rPr>
        <w:t>施工所用各类工器具必须符合安全管理要求。</w:t>
      </w:r>
    </w:p>
    <w:p>
      <w:pPr>
        <w:spacing w:line="360" w:lineRule="auto"/>
        <w:ind w:firstLine="600" w:firstLineChars="250"/>
        <w:jc w:val="left"/>
        <w:rPr>
          <w:rFonts w:hint="eastAsia" w:ascii="宋体" w:hAnsi="宋体" w:cs="宋体"/>
          <w:sz w:val="24"/>
          <w:lang w:val="sq-AL"/>
        </w:rPr>
      </w:pPr>
      <w:r>
        <w:rPr>
          <w:rFonts w:hint="eastAsia" w:ascii="宋体" w:hAnsi="宋体" w:cs="宋体"/>
          <w:sz w:val="24"/>
        </w:rPr>
        <w:t>3、</w:t>
      </w:r>
      <w:r>
        <w:rPr>
          <w:rFonts w:hint="eastAsia" w:ascii="宋体" w:hAnsi="宋体" w:cs="宋体"/>
          <w:sz w:val="24"/>
          <w:lang w:val="sq-AL"/>
        </w:rPr>
        <w:t>由于现场施工作业涉及高空临边作业、动火作业等危险作业，乙方中标后制定施工方案、安全措施，甲方审核，</w:t>
      </w:r>
      <w:r>
        <w:rPr>
          <w:rFonts w:hint="eastAsia" w:ascii="宋体" w:hAnsi="宋体" w:cs="宋体"/>
          <w:sz w:val="24"/>
        </w:rPr>
        <w:t>审核合格后进行施工</w:t>
      </w:r>
      <w:r>
        <w:rPr>
          <w:rFonts w:hint="eastAsia" w:ascii="宋体" w:hAnsi="宋体" w:cs="宋体"/>
          <w:sz w:val="24"/>
          <w:lang w:val="sq-AL"/>
        </w:rPr>
        <w:t>。</w:t>
      </w:r>
    </w:p>
    <w:p>
      <w:pPr>
        <w:spacing w:line="360" w:lineRule="auto"/>
        <w:ind w:firstLine="600" w:firstLineChars="250"/>
        <w:jc w:val="left"/>
        <w:rPr>
          <w:rFonts w:hint="eastAsia" w:ascii="宋体" w:hAnsi="宋体" w:cs="宋体"/>
          <w:sz w:val="24"/>
          <w:lang w:val="sq-AL"/>
        </w:rPr>
      </w:pPr>
      <w:r>
        <w:rPr>
          <w:rFonts w:hint="eastAsia" w:ascii="宋体" w:hAnsi="宋体" w:cs="宋体"/>
          <w:sz w:val="24"/>
        </w:rPr>
        <w:t>4、如有技术性能更加先进或可靠性更高的产品或施工工艺，乙方有义务告知甲方。在不增加维修成本的前提下，甲乙双方协商后，乙方应选用更加先进更加可靠的产品或工艺，施工时</w:t>
      </w:r>
      <w:r>
        <w:rPr>
          <w:rFonts w:hint="eastAsia" w:ascii="宋体" w:hAnsi="宋体" w:cs="宋体"/>
          <w:sz w:val="24"/>
          <w:lang w:val="sq-AL"/>
        </w:rPr>
        <w:t>对甲方提出的合理改进意见，乙方</w:t>
      </w:r>
      <w:r>
        <w:rPr>
          <w:rFonts w:hint="eastAsia" w:ascii="宋体" w:hAnsi="宋体" w:cs="宋体"/>
          <w:sz w:val="24"/>
        </w:rPr>
        <w:t>需</w:t>
      </w:r>
      <w:r>
        <w:rPr>
          <w:rFonts w:hint="eastAsia" w:ascii="宋体" w:hAnsi="宋体" w:cs="宋体"/>
          <w:sz w:val="24"/>
          <w:lang w:val="sq-AL"/>
        </w:rPr>
        <w:t>参加论证和配合改进的义务。</w:t>
      </w:r>
    </w:p>
    <w:p>
      <w:pPr>
        <w:spacing w:line="360" w:lineRule="auto"/>
        <w:ind w:firstLine="600" w:firstLineChars="250"/>
        <w:jc w:val="left"/>
        <w:rPr>
          <w:rFonts w:hint="eastAsia" w:ascii="宋体" w:hAnsi="宋体" w:cs="宋体"/>
          <w:sz w:val="24"/>
        </w:rPr>
      </w:pPr>
      <w:r>
        <w:rPr>
          <w:rFonts w:hint="eastAsia" w:ascii="宋体" w:hAnsi="宋体" w:cs="宋体"/>
          <w:sz w:val="24"/>
        </w:rPr>
        <w:t>5、装置安装时应有安装技术文件，技术文件应符合《污染源自动监测设施安装建设技术要求》相关要求。</w:t>
      </w:r>
    </w:p>
    <w:p>
      <w:pPr>
        <w:pStyle w:val="4"/>
        <w:numPr>
          <w:ilvl w:val="1"/>
          <w:numId w:val="0"/>
        </w:numPr>
        <w:ind w:leftChars="0"/>
        <w:rPr>
          <w:rFonts w:hint="eastAsia"/>
          <w:sz w:val="30"/>
          <w:szCs w:val="30"/>
        </w:rPr>
      </w:pPr>
      <w:r>
        <w:rPr>
          <w:rFonts w:hint="eastAsia"/>
          <w:sz w:val="30"/>
          <w:szCs w:val="30"/>
          <w:lang w:val="en-US" w:eastAsia="zh-CN"/>
        </w:rPr>
        <w:t xml:space="preserve">五 </w:t>
      </w:r>
      <w:r>
        <w:rPr>
          <w:rFonts w:hint="eastAsia"/>
          <w:sz w:val="30"/>
          <w:szCs w:val="30"/>
        </w:rPr>
        <w:t>提供资料</w:t>
      </w:r>
    </w:p>
    <w:p>
      <w:pPr>
        <w:numPr>
          <w:ilvl w:val="0"/>
          <w:numId w:val="3"/>
        </w:numPr>
        <w:tabs>
          <w:tab w:val="left" w:pos="840"/>
          <w:tab w:val="clear" w:pos="420"/>
        </w:tabs>
        <w:spacing w:line="360" w:lineRule="auto"/>
        <w:ind w:left="420" w:leftChars="200"/>
        <w:rPr>
          <w:sz w:val="24"/>
          <w:u w:val="single"/>
        </w:rPr>
      </w:pPr>
      <w:r>
        <w:rPr>
          <w:sz w:val="24"/>
        </w:rPr>
        <w:t>乙方在签订合同后向甲方提供系统安装所需要相关技术文件，主要包括：</w:t>
      </w:r>
    </w:p>
    <w:p>
      <w:pPr>
        <w:numPr>
          <w:ilvl w:val="1"/>
          <w:numId w:val="4"/>
        </w:numPr>
        <w:tabs>
          <w:tab w:val="left" w:pos="1260"/>
          <w:tab w:val="clear" w:pos="840"/>
        </w:tabs>
        <w:spacing w:line="360" w:lineRule="auto"/>
        <w:ind w:left="840" w:leftChars="400"/>
        <w:rPr>
          <w:sz w:val="24"/>
        </w:rPr>
      </w:pPr>
      <w:r>
        <w:rPr>
          <w:sz w:val="24"/>
        </w:rPr>
        <w:t>系统安装布置示意图,分析小屋的结构示意图。</w:t>
      </w:r>
    </w:p>
    <w:p>
      <w:pPr>
        <w:numPr>
          <w:ilvl w:val="1"/>
          <w:numId w:val="4"/>
        </w:numPr>
        <w:tabs>
          <w:tab w:val="left" w:pos="1260"/>
          <w:tab w:val="clear" w:pos="840"/>
        </w:tabs>
        <w:spacing w:line="360" w:lineRule="auto"/>
        <w:ind w:left="840" w:leftChars="400"/>
        <w:rPr>
          <w:sz w:val="24"/>
        </w:rPr>
      </w:pPr>
      <w:r>
        <w:rPr>
          <w:sz w:val="24"/>
        </w:rPr>
        <w:t>分析房、监测孔、电源、气源、电缆护套等的要求，包括数量、尺寸和采样孔的位置及硬件定位的安装示意图等。</w:t>
      </w:r>
    </w:p>
    <w:p>
      <w:pPr>
        <w:numPr>
          <w:ilvl w:val="1"/>
          <w:numId w:val="4"/>
        </w:numPr>
        <w:tabs>
          <w:tab w:val="left" w:pos="1260"/>
          <w:tab w:val="clear" w:pos="840"/>
        </w:tabs>
        <w:spacing w:line="360" w:lineRule="auto"/>
        <w:ind w:left="840" w:leftChars="400"/>
        <w:rPr>
          <w:sz w:val="24"/>
        </w:rPr>
      </w:pPr>
      <w:r>
        <w:rPr>
          <w:sz w:val="24"/>
        </w:rPr>
        <w:t>电气单元或主接线示意图，用于控制、电路和供电的设计。</w:t>
      </w:r>
    </w:p>
    <w:p>
      <w:pPr>
        <w:numPr>
          <w:ilvl w:val="1"/>
          <w:numId w:val="4"/>
        </w:numPr>
        <w:tabs>
          <w:tab w:val="left" w:pos="1260"/>
          <w:tab w:val="clear" w:pos="840"/>
        </w:tabs>
        <w:spacing w:line="360" w:lineRule="auto"/>
        <w:ind w:left="840" w:leftChars="400"/>
        <w:rPr>
          <w:sz w:val="24"/>
        </w:rPr>
      </w:pPr>
      <w:r>
        <w:rPr>
          <w:sz w:val="24"/>
        </w:rPr>
        <w:t>描述外部结点的电气连接示意图，用于设计结点。</w:t>
      </w:r>
    </w:p>
    <w:p>
      <w:pPr>
        <w:numPr>
          <w:ilvl w:val="1"/>
          <w:numId w:val="4"/>
        </w:numPr>
        <w:tabs>
          <w:tab w:val="left" w:pos="1260"/>
          <w:tab w:val="clear" w:pos="840"/>
        </w:tabs>
        <w:spacing w:line="360" w:lineRule="auto"/>
        <w:ind w:left="840" w:leftChars="400"/>
        <w:rPr>
          <w:sz w:val="24"/>
        </w:rPr>
      </w:pPr>
      <w:r>
        <w:rPr>
          <w:sz w:val="24"/>
        </w:rPr>
        <w:t>需安装的设备尺寸及与设备连接的材料尺寸。</w:t>
      </w:r>
    </w:p>
    <w:p>
      <w:pPr>
        <w:numPr>
          <w:ilvl w:val="1"/>
          <w:numId w:val="4"/>
        </w:numPr>
        <w:tabs>
          <w:tab w:val="left" w:pos="1260"/>
          <w:tab w:val="clear" w:pos="840"/>
        </w:tabs>
        <w:spacing w:line="360" w:lineRule="auto"/>
        <w:ind w:left="840" w:leftChars="400"/>
        <w:rPr>
          <w:sz w:val="24"/>
        </w:rPr>
      </w:pPr>
      <w:r>
        <w:rPr>
          <w:sz w:val="24"/>
        </w:rPr>
        <w:t>设备仪器说明书。</w:t>
      </w:r>
    </w:p>
    <w:p>
      <w:pPr>
        <w:numPr>
          <w:ilvl w:val="1"/>
          <w:numId w:val="4"/>
        </w:numPr>
        <w:tabs>
          <w:tab w:val="left" w:pos="1260"/>
          <w:tab w:val="clear" w:pos="840"/>
        </w:tabs>
        <w:spacing w:line="360" w:lineRule="auto"/>
        <w:ind w:left="840" w:leftChars="400"/>
        <w:rPr>
          <w:sz w:val="24"/>
        </w:rPr>
      </w:pPr>
      <w:r>
        <w:rPr>
          <w:sz w:val="24"/>
        </w:rPr>
        <w:t>操作和安装说明书。</w:t>
      </w:r>
    </w:p>
    <w:p>
      <w:pPr>
        <w:numPr>
          <w:ilvl w:val="0"/>
          <w:numId w:val="3"/>
        </w:numPr>
        <w:tabs>
          <w:tab w:val="left" w:pos="840"/>
          <w:tab w:val="clear" w:pos="420"/>
        </w:tabs>
        <w:spacing w:line="360" w:lineRule="auto"/>
        <w:ind w:left="420" w:leftChars="200"/>
        <w:rPr>
          <w:sz w:val="24"/>
        </w:rPr>
      </w:pPr>
      <w:r>
        <w:rPr>
          <w:sz w:val="24"/>
        </w:rPr>
        <w:t>所有文件、图纸上文字用中文表述，单位采用国际法定计量单位。</w:t>
      </w:r>
    </w:p>
    <w:p>
      <w:pPr>
        <w:numPr>
          <w:ilvl w:val="0"/>
          <w:numId w:val="3"/>
        </w:numPr>
        <w:tabs>
          <w:tab w:val="left" w:pos="840"/>
          <w:tab w:val="clear" w:pos="420"/>
        </w:tabs>
        <w:spacing w:line="360" w:lineRule="auto"/>
        <w:ind w:left="420" w:leftChars="200"/>
        <w:rPr>
          <w:sz w:val="24"/>
        </w:rPr>
      </w:pPr>
      <w:r>
        <w:rPr>
          <w:sz w:val="24"/>
        </w:rPr>
        <w:t>乙方所提供的图纸如有修改，乙方应在新版中显著明确表示并相应提供文字说明。</w:t>
      </w:r>
    </w:p>
    <w:p>
      <w:pPr>
        <w:numPr>
          <w:ilvl w:val="0"/>
          <w:numId w:val="3"/>
        </w:numPr>
        <w:tabs>
          <w:tab w:val="left" w:pos="840"/>
          <w:tab w:val="clear" w:pos="420"/>
        </w:tabs>
        <w:spacing w:line="360" w:lineRule="auto"/>
        <w:ind w:left="420" w:leftChars="200"/>
        <w:rPr>
          <w:sz w:val="24"/>
        </w:rPr>
      </w:pPr>
      <w:r>
        <w:rPr>
          <w:sz w:val="24"/>
        </w:rPr>
        <w:t>乙方应提供在烟道上安装设备的全部要求，包括数量、尺寸和采样孔的位置及硬件定位的安装示意图等。</w:t>
      </w:r>
    </w:p>
    <w:p>
      <w:pPr>
        <w:pStyle w:val="4"/>
        <w:numPr>
          <w:ilvl w:val="1"/>
          <w:numId w:val="0"/>
        </w:numPr>
        <w:ind w:leftChars="0"/>
        <w:rPr>
          <w:rFonts w:hint="eastAsia" w:eastAsia="宋体"/>
          <w:sz w:val="30"/>
          <w:szCs w:val="30"/>
          <w:lang w:eastAsia="zh-CN"/>
        </w:rPr>
      </w:pPr>
      <w:r>
        <w:rPr>
          <w:rFonts w:hint="eastAsia"/>
          <w:sz w:val="30"/>
          <w:szCs w:val="30"/>
          <w:lang w:val="en-US" w:eastAsia="zh-CN"/>
        </w:rPr>
        <w:t>六</w:t>
      </w:r>
      <w:r>
        <w:rPr>
          <w:rFonts w:hint="eastAsia"/>
          <w:sz w:val="30"/>
          <w:szCs w:val="30"/>
        </w:rPr>
        <w:t xml:space="preserve"> 监测站房的建设要求 </w:t>
      </w:r>
      <w:r>
        <w:rPr>
          <w:rFonts w:hint="eastAsia"/>
          <w:sz w:val="30"/>
          <w:szCs w:val="30"/>
          <w:lang w:eastAsia="zh-CN"/>
        </w:rPr>
        <w:t>：</w:t>
      </w:r>
    </w:p>
    <w:p>
      <w:pPr>
        <w:numPr>
          <w:ilvl w:val="0"/>
          <w:numId w:val="5"/>
        </w:numPr>
        <w:spacing w:line="360" w:lineRule="auto"/>
        <w:rPr>
          <w:sz w:val="24"/>
        </w:rPr>
      </w:pPr>
      <w:r>
        <w:rPr>
          <w:sz w:val="24"/>
        </w:rPr>
        <w:t>位置：应为室外的CEMS提供独立站房，监测站房与采样点之间距离应尽可能近，原则上不超过70米。</w:t>
      </w:r>
    </w:p>
    <w:p>
      <w:pPr>
        <w:numPr>
          <w:ilvl w:val="0"/>
          <w:numId w:val="5"/>
        </w:numPr>
        <w:spacing w:line="360" w:lineRule="auto"/>
        <w:rPr>
          <w:sz w:val="24"/>
        </w:rPr>
      </w:pPr>
      <w:r>
        <w:rPr>
          <w:sz w:val="24"/>
        </w:rPr>
        <w:t>安装地点应清洁，无机械震动，附近不应有强电磁场干扰。</w:t>
      </w:r>
    </w:p>
    <w:p>
      <w:pPr>
        <w:numPr>
          <w:ilvl w:val="0"/>
          <w:numId w:val="5"/>
        </w:numPr>
        <w:spacing w:line="360" w:lineRule="auto"/>
        <w:rPr>
          <w:sz w:val="24"/>
        </w:rPr>
      </w:pPr>
      <w:r>
        <w:rPr>
          <w:sz w:val="24"/>
        </w:rPr>
        <w:t>监测站房的基础荷载强度应≥2000kg/m2。分析小屋的大小：</w:t>
      </w:r>
    </w:p>
    <w:p>
      <w:pPr>
        <w:numPr>
          <w:ilvl w:val="0"/>
          <w:numId w:val="5"/>
        </w:numPr>
        <w:spacing w:line="360" w:lineRule="auto"/>
        <w:rPr>
          <w:sz w:val="24"/>
        </w:rPr>
      </w:pPr>
      <w:r>
        <w:rPr>
          <w:sz w:val="24"/>
        </w:rPr>
        <w:t>材质要求：分析小屋的墙体可采用混凝土砌砖结构，外墙面和内墙均需油漆粉刷处理，地面用瓷砖铺设。</w:t>
      </w:r>
    </w:p>
    <w:p>
      <w:pPr>
        <w:numPr>
          <w:ilvl w:val="0"/>
          <w:numId w:val="5"/>
        </w:numPr>
        <w:spacing w:line="360" w:lineRule="auto"/>
        <w:rPr>
          <w:sz w:val="24"/>
        </w:rPr>
      </w:pPr>
      <w:r>
        <w:rPr>
          <w:sz w:val="24"/>
        </w:rPr>
        <w:t>分析小屋的大小：若站房内仅放置单台机柜，面积应≥2.5×2.5m2。若同一站房放置多套分析仪表的，每增加一台机柜，站房面积应至少增加3m2，便于开展运维操作。站房空间高度应≥2.8m，站房建在标高≥0m处。还有净化器、标气等其他辅助设备。</w:t>
      </w:r>
    </w:p>
    <w:p>
      <w:pPr>
        <w:numPr>
          <w:ilvl w:val="0"/>
          <w:numId w:val="5"/>
        </w:numPr>
        <w:spacing w:line="360" w:lineRule="auto"/>
        <w:rPr>
          <w:sz w:val="24"/>
        </w:rPr>
      </w:pPr>
      <w:r>
        <w:rPr>
          <w:sz w:val="24"/>
        </w:rPr>
        <w:t>门窗要求：分析小屋门的宽度应不得小于0.9米且为外开门，窗户大小应该符合采光和通风要求，窗户材质和层数应满足防尘保湿要求且要考虑防盗措施。</w:t>
      </w:r>
    </w:p>
    <w:p>
      <w:pPr>
        <w:numPr>
          <w:ilvl w:val="0"/>
          <w:numId w:val="5"/>
        </w:numPr>
        <w:spacing w:line="360" w:lineRule="auto"/>
        <w:rPr>
          <w:sz w:val="24"/>
        </w:rPr>
      </w:pPr>
      <w:r>
        <w:rPr>
          <w:sz w:val="24"/>
        </w:rPr>
        <w:t>小屋照明：60w日光灯，开关安装在室内，照明开关带三线或二线插座。</w:t>
      </w:r>
    </w:p>
    <w:p>
      <w:pPr>
        <w:numPr>
          <w:ilvl w:val="0"/>
          <w:numId w:val="5"/>
        </w:numPr>
        <w:spacing w:line="360" w:lineRule="auto"/>
        <w:rPr>
          <w:sz w:val="24"/>
        </w:rPr>
      </w:pPr>
      <w:r>
        <w:rPr>
          <w:sz w:val="24"/>
        </w:rPr>
        <w:t>HVAC：要求环境温度在15℃～30℃之间，相对湿度在60%以下，配置</w:t>
      </w:r>
      <w:r>
        <w:rPr>
          <w:rFonts w:hint="eastAsia"/>
          <w:sz w:val="24"/>
          <w:lang w:val="en-US" w:eastAsia="zh-CN"/>
        </w:rPr>
        <w:t>3</w:t>
      </w:r>
      <w:r>
        <w:rPr>
          <w:sz w:val="24"/>
        </w:rPr>
        <w:t>P冷暖两用空调和采暖设备，要求空调具有断电重启功能。站房内应安装排风扇或其它通风设施。</w:t>
      </w:r>
    </w:p>
    <w:p>
      <w:pPr>
        <w:numPr>
          <w:ilvl w:val="0"/>
          <w:numId w:val="5"/>
        </w:numPr>
        <w:spacing w:line="360" w:lineRule="auto"/>
        <w:rPr>
          <w:sz w:val="24"/>
        </w:rPr>
      </w:pPr>
      <w:r>
        <w:rPr>
          <w:sz w:val="24"/>
        </w:rPr>
        <w:t>电气设备：在小屋内墙配置100mm×50mm的电缆桥架（门除外），小屋外配置总电源接线箱；屋内配置电源分线箱，功率不少于8KW，稳压电源1个、UPS电源一个，分线箱内配置空开至少预留三孔插座5个，接地可靠，一般接地电阻要求≤4欧姆。</w:t>
      </w:r>
    </w:p>
    <w:p>
      <w:pPr>
        <w:numPr>
          <w:ilvl w:val="0"/>
          <w:numId w:val="5"/>
        </w:numPr>
        <w:spacing w:line="360" w:lineRule="auto"/>
        <w:rPr>
          <w:sz w:val="24"/>
        </w:rPr>
      </w:pPr>
      <w:r>
        <w:rPr>
          <w:sz w:val="24"/>
        </w:rPr>
        <w:t>在监测房内放置仪器位置的正上方（靠近烟囱或烟道测量点的一侧）距离地面高度的2.5m处，为样气管路及电缆管路开孔，开孔尺寸为200mm×100mm，开孔数量1个；在机柜背面墙壁贴近地面底部上开一孔，规格为Ф30mm，作为废水废气排放口（可以后期安装时候制作）。</w:t>
      </w:r>
    </w:p>
    <w:p>
      <w:pPr>
        <w:numPr>
          <w:ilvl w:val="0"/>
          <w:numId w:val="5"/>
        </w:numPr>
        <w:spacing w:line="360" w:lineRule="auto"/>
        <w:rPr>
          <w:sz w:val="24"/>
        </w:rPr>
      </w:pPr>
      <w:r>
        <w:rPr>
          <w:sz w:val="24"/>
        </w:rPr>
        <w:t>标准气瓶支架制作：由于烟气监测校准用的标气属于有毒气体，考虑到标气瓶的安全问题，为了防止标气瓶倾倒，需要制作支架来固定气瓶（可以后期安装时候制作）。</w:t>
      </w:r>
    </w:p>
    <w:p>
      <w:pPr>
        <w:numPr>
          <w:ilvl w:val="0"/>
          <w:numId w:val="5"/>
        </w:numPr>
        <w:spacing w:line="360" w:lineRule="auto"/>
        <w:rPr>
          <w:sz w:val="24"/>
        </w:rPr>
      </w:pPr>
      <w:r>
        <w:rPr>
          <w:sz w:val="24"/>
        </w:rPr>
        <w:t>监测站房应有必要的防水、防潮、隔热、保温措施。</w:t>
      </w:r>
    </w:p>
    <w:p>
      <w:pPr>
        <w:numPr>
          <w:ilvl w:val="0"/>
          <w:numId w:val="5"/>
        </w:numPr>
        <w:spacing w:line="360" w:lineRule="auto"/>
        <w:rPr>
          <w:rFonts w:hint="eastAsia" w:ascii="Cambria" w:hAnsi="Cambria" w:eastAsia="宋体" w:cs="Times New Roman"/>
          <w:b/>
          <w:bCs/>
          <w:kern w:val="2"/>
          <w:sz w:val="30"/>
          <w:szCs w:val="30"/>
          <w:lang w:val="en-US" w:eastAsia="zh-CN" w:bidi="ar-SA"/>
        </w:rPr>
      </w:pPr>
      <w:r>
        <w:rPr>
          <w:sz w:val="24"/>
        </w:rPr>
        <w:t>监测站房应具有能够满足CEMS数据传输要求的通讯条件。</w:t>
      </w:r>
      <w:bookmarkStart w:id="12" w:name="_Toc380759313"/>
    </w:p>
    <w:p>
      <w:pPr>
        <w:spacing w:line="360" w:lineRule="auto"/>
        <w:rPr>
          <w:sz w:val="30"/>
          <w:szCs w:val="30"/>
          <w:highlight w:val="green"/>
        </w:rPr>
      </w:pPr>
      <w:r>
        <w:rPr>
          <w:rFonts w:hint="eastAsia" w:ascii="Cambria" w:hAnsi="Cambria" w:cs="Times New Roman"/>
          <w:b/>
          <w:bCs/>
          <w:kern w:val="2"/>
          <w:sz w:val="30"/>
          <w:szCs w:val="30"/>
          <w:lang w:val="en-US" w:eastAsia="zh-CN" w:bidi="ar-SA"/>
        </w:rPr>
        <w:t>七</w:t>
      </w:r>
      <w:r>
        <w:rPr>
          <w:rFonts w:hint="eastAsia" w:ascii="Cambria" w:hAnsi="Cambria" w:eastAsia="宋体" w:cs="Times New Roman"/>
          <w:b/>
          <w:bCs/>
          <w:kern w:val="2"/>
          <w:sz w:val="30"/>
          <w:szCs w:val="30"/>
          <w:lang w:val="en-US" w:eastAsia="zh-CN" w:bidi="ar-SA"/>
        </w:rPr>
        <w:t xml:space="preserve"> 公用工程与双方责任</w:t>
      </w:r>
      <w:bookmarkEnd w:id="12"/>
    </w:p>
    <w:p>
      <w:pPr>
        <w:spacing w:line="360" w:lineRule="auto"/>
        <w:rPr>
          <w:rFonts w:hint="eastAsia"/>
          <w:b/>
          <w:bCs/>
          <w:sz w:val="24"/>
        </w:rPr>
      </w:pPr>
      <w:r>
        <w:rPr>
          <w:rFonts w:hint="eastAsia"/>
          <w:b/>
          <w:bCs/>
          <w:sz w:val="24"/>
          <w:lang w:val="en-US" w:eastAsia="zh-CN"/>
        </w:rPr>
        <w:t>1</w:t>
      </w:r>
      <w:r>
        <w:rPr>
          <w:rFonts w:hint="eastAsia"/>
          <w:b/>
          <w:bCs/>
          <w:sz w:val="24"/>
          <w:lang w:eastAsia="zh-CN"/>
        </w:rPr>
        <w:t>、</w:t>
      </w:r>
      <w:r>
        <w:rPr>
          <w:rFonts w:hint="eastAsia"/>
          <w:b/>
          <w:bCs/>
          <w:sz w:val="24"/>
        </w:rPr>
        <w:t>系统电源、气源要求</w:t>
      </w:r>
    </w:p>
    <w:p>
      <w:pPr>
        <w:spacing w:line="360" w:lineRule="auto"/>
        <w:rPr>
          <w:rFonts w:hint="eastAsia"/>
          <w:sz w:val="24"/>
        </w:rPr>
      </w:pPr>
      <w:r>
        <w:rPr>
          <w:rFonts w:hint="eastAsia"/>
          <w:sz w:val="24"/>
        </w:rPr>
        <w:t>电源：市电电源，220VAC±10%，频率50±1Hz，0.08KW/m×伴热管线长度+主机柜功率3KW。</w:t>
      </w:r>
    </w:p>
    <w:p>
      <w:pPr>
        <w:spacing w:line="360" w:lineRule="auto"/>
        <w:rPr>
          <w:rFonts w:hint="eastAsia"/>
          <w:sz w:val="24"/>
        </w:rPr>
      </w:pPr>
      <w:r>
        <w:rPr>
          <w:rFonts w:hint="eastAsia"/>
          <w:sz w:val="24"/>
        </w:rPr>
        <w:t>气源：洁净无油无水的仪表风（露点≤0oC），敷设至分析小屋，均以G1/2内螺纹球阀为终端，具体压力和流量如下（单套）：</w:t>
      </w:r>
    </w:p>
    <w:p>
      <w:pPr>
        <w:spacing w:line="360" w:lineRule="auto"/>
        <w:rPr>
          <w:rFonts w:hint="eastAsia"/>
          <w:sz w:val="24"/>
        </w:rPr>
      </w:pPr>
      <w:r>
        <w:rPr>
          <w:rFonts w:hint="eastAsia"/>
          <w:sz w:val="24"/>
        </w:rPr>
        <w:t>压力：（0.4～0.7）MPa，流量：250L/min，压力和流量要稳定。</w:t>
      </w:r>
    </w:p>
    <w:p>
      <w:pPr>
        <w:spacing w:line="360" w:lineRule="auto"/>
        <w:rPr>
          <w:rFonts w:hint="eastAsia" w:eastAsia="宋体"/>
          <w:sz w:val="24"/>
          <w:lang w:eastAsia="zh-CN"/>
        </w:rPr>
      </w:pPr>
      <w:r>
        <w:rPr>
          <w:rFonts w:hint="eastAsia"/>
          <w:b/>
          <w:bCs/>
          <w:sz w:val="24"/>
          <w:lang w:val="en-US" w:eastAsia="zh-CN"/>
        </w:rPr>
        <w:t>2、</w:t>
      </w:r>
      <w:r>
        <w:rPr>
          <w:rFonts w:hint="eastAsia"/>
          <w:b/>
          <w:bCs/>
          <w:sz w:val="24"/>
        </w:rPr>
        <w:t>采样平台、扶梯建设要求</w:t>
      </w:r>
      <w:r>
        <w:rPr>
          <w:rFonts w:hint="eastAsia"/>
          <w:sz w:val="24"/>
          <w:lang w:eastAsia="zh-CN"/>
        </w:rPr>
        <w:t>：</w:t>
      </w:r>
    </w:p>
    <w:p>
      <w:pPr>
        <w:spacing w:line="360" w:lineRule="auto"/>
        <w:ind w:firstLine="480" w:firstLineChars="200"/>
        <w:rPr>
          <w:rFonts w:hint="eastAsia"/>
          <w:sz w:val="24"/>
        </w:rPr>
      </w:pPr>
      <w:r>
        <w:rPr>
          <w:rFonts w:hint="eastAsia"/>
          <w:sz w:val="24"/>
        </w:rPr>
        <w:t>采样平台建设要求（可根据项目现场实际情况调整）：</w:t>
      </w:r>
    </w:p>
    <w:p>
      <w:pPr>
        <w:spacing w:line="360" w:lineRule="auto"/>
        <w:rPr>
          <w:sz w:val="24"/>
        </w:rPr>
      </w:pPr>
      <w:r>
        <w:rPr>
          <w:sz w:val="24"/>
        </w:rPr>
        <w:t></w:t>
      </w:r>
      <w:r>
        <w:rPr>
          <w:sz w:val="24"/>
        </w:rPr>
        <w:tab/>
      </w:r>
      <w:r>
        <w:rPr>
          <w:rFonts w:hint="eastAsia"/>
          <w:sz w:val="24"/>
        </w:rPr>
        <w:t>采样或监测平台长度应≥</w:t>
      </w:r>
      <w:r>
        <w:rPr>
          <w:sz w:val="24"/>
        </w:rPr>
        <w:t>2m</w:t>
      </w:r>
      <w:r>
        <w:rPr>
          <w:rFonts w:hint="eastAsia"/>
          <w:sz w:val="24"/>
        </w:rPr>
        <w:t>，宽度应≥</w:t>
      </w:r>
      <w:r>
        <w:rPr>
          <w:sz w:val="24"/>
        </w:rPr>
        <w:t>2m</w:t>
      </w:r>
      <w:r>
        <w:rPr>
          <w:rFonts w:hint="eastAsia"/>
          <w:sz w:val="24"/>
        </w:rPr>
        <w:t>或采样枪长度外延</w:t>
      </w:r>
      <w:r>
        <w:rPr>
          <w:sz w:val="24"/>
        </w:rPr>
        <w:t>1m</w:t>
      </w:r>
      <w:r>
        <w:rPr>
          <w:rFonts w:hint="eastAsia"/>
          <w:sz w:val="24"/>
        </w:rPr>
        <w:t>，周围设置</w:t>
      </w:r>
      <w:r>
        <w:rPr>
          <w:sz w:val="24"/>
        </w:rPr>
        <w:t>1.2m</w:t>
      </w:r>
      <w:r>
        <w:rPr>
          <w:rFonts w:hint="eastAsia"/>
          <w:sz w:val="24"/>
        </w:rPr>
        <w:t>以上的安全防护栏，有牢固并符合要求的安全措施，便于日常维护（清洁光学镜头、检查和调整光路准直、检测仪器性能和更换部件等）和比对监测。</w:t>
      </w:r>
    </w:p>
    <w:p>
      <w:pPr>
        <w:spacing w:line="360" w:lineRule="auto"/>
        <w:rPr>
          <w:sz w:val="24"/>
        </w:rPr>
      </w:pPr>
      <w:r>
        <w:rPr>
          <w:sz w:val="24"/>
        </w:rPr>
        <w:t></w:t>
      </w:r>
      <w:r>
        <w:rPr>
          <w:sz w:val="24"/>
        </w:rPr>
        <w:tab/>
      </w:r>
      <w:r>
        <w:rPr>
          <w:rFonts w:hint="eastAsia"/>
          <w:sz w:val="24"/>
        </w:rPr>
        <w:t>采样或监测平台应易于人员和监测仪器到达，当采样平台设置在离地面高度≥</w:t>
      </w:r>
      <w:r>
        <w:rPr>
          <w:sz w:val="24"/>
        </w:rPr>
        <w:t>2m</w:t>
      </w:r>
      <w:r>
        <w:rPr>
          <w:rFonts w:hint="eastAsia"/>
          <w:sz w:val="24"/>
        </w:rPr>
        <w:t>的位置时，应有通往平台的斜梯</w:t>
      </w:r>
      <w:r>
        <w:rPr>
          <w:sz w:val="24"/>
        </w:rPr>
        <w:t>/Z</w:t>
      </w:r>
      <w:r>
        <w:rPr>
          <w:rFonts w:hint="eastAsia"/>
          <w:sz w:val="24"/>
        </w:rPr>
        <w:t>字梯</w:t>
      </w:r>
      <w:r>
        <w:rPr>
          <w:sz w:val="24"/>
        </w:rPr>
        <w:t>/</w:t>
      </w:r>
      <w:r>
        <w:rPr>
          <w:rFonts w:hint="eastAsia"/>
          <w:sz w:val="24"/>
        </w:rPr>
        <w:t>旋梯，宽度应≥</w:t>
      </w:r>
      <w:r>
        <w:rPr>
          <w:sz w:val="24"/>
        </w:rPr>
        <w:t>0.9m</w:t>
      </w:r>
      <w:r>
        <w:rPr>
          <w:rFonts w:hint="eastAsia"/>
          <w:sz w:val="24"/>
        </w:rPr>
        <w:t>；当采样平台设置在离地面高度≥</w:t>
      </w:r>
      <w:r>
        <w:rPr>
          <w:sz w:val="24"/>
        </w:rPr>
        <w:t>20m</w:t>
      </w:r>
      <w:r>
        <w:rPr>
          <w:rFonts w:hint="eastAsia"/>
          <w:sz w:val="24"/>
        </w:rPr>
        <w:t>的位置时，应有通往平台的升降梯。</w:t>
      </w:r>
    </w:p>
    <w:p>
      <w:pPr>
        <w:spacing w:line="360" w:lineRule="auto"/>
        <w:rPr>
          <w:sz w:val="24"/>
        </w:rPr>
      </w:pPr>
      <w:r>
        <w:rPr>
          <w:sz w:val="24"/>
        </w:rPr>
        <w:t></w:t>
      </w:r>
      <w:r>
        <w:rPr>
          <w:sz w:val="24"/>
        </w:rPr>
        <w:tab/>
      </w:r>
      <w:r>
        <w:rPr>
          <w:rFonts w:hint="eastAsia"/>
          <w:sz w:val="24"/>
        </w:rPr>
        <w:t>安装系统的工作区域应设置一个防水低压配电箱，内设漏电保护器、不少于</w:t>
      </w:r>
      <w:r>
        <w:rPr>
          <w:sz w:val="24"/>
        </w:rPr>
        <w:t>2</w:t>
      </w:r>
      <w:r>
        <w:rPr>
          <w:rFonts w:hint="eastAsia"/>
          <w:sz w:val="24"/>
        </w:rPr>
        <w:t>个</w:t>
      </w:r>
      <w:r>
        <w:rPr>
          <w:sz w:val="24"/>
        </w:rPr>
        <w:t>10A</w:t>
      </w:r>
      <w:r>
        <w:rPr>
          <w:rFonts w:hint="eastAsia"/>
          <w:sz w:val="24"/>
        </w:rPr>
        <w:t>插座，保证监测设备所需电力</w:t>
      </w:r>
    </w:p>
    <w:p>
      <w:pPr>
        <w:spacing w:line="360" w:lineRule="auto"/>
        <w:rPr>
          <w:sz w:val="24"/>
        </w:rPr>
      </w:pPr>
      <w:r>
        <w:rPr>
          <w:sz w:val="24"/>
        </w:rPr>
        <w:t></w:t>
      </w:r>
      <w:r>
        <w:rPr>
          <w:sz w:val="24"/>
        </w:rPr>
        <w:tab/>
      </w:r>
      <w:r>
        <w:rPr>
          <w:rFonts w:hint="eastAsia"/>
          <w:sz w:val="24"/>
        </w:rPr>
        <w:t>当系统探头和温压流安装在矩形烟道时，若烟道截面的高度</w:t>
      </w:r>
      <w:r>
        <w:rPr>
          <w:sz w:val="24"/>
        </w:rPr>
        <w:t>&gt;4m</w:t>
      </w:r>
      <w:r>
        <w:rPr>
          <w:rFonts w:hint="eastAsia"/>
          <w:sz w:val="24"/>
        </w:rPr>
        <w:t>，则不宜在烟道顶层开设参比方法采样孔；若烟道截面的宽度大于</w:t>
      </w:r>
      <w:r>
        <w:rPr>
          <w:sz w:val="24"/>
        </w:rPr>
        <w:t>4m</w:t>
      </w:r>
      <w:r>
        <w:rPr>
          <w:rFonts w:hint="eastAsia"/>
          <w:sz w:val="24"/>
        </w:rPr>
        <w:t>，则应在烟道两侧开设参比方法采样孔，并设置多层采样平台。</w:t>
      </w:r>
    </w:p>
    <w:p>
      <w:pPr>
        <w:spacing w:line="360" w:lineRule="auto"/>
        <w:rPr>
          <w:sz w:val="24"/>
        </w:rPr>
      </w:pPr>
      <w:r>
        <w:rPr>
          <w:sz w:val="24"/>
        </w:rPr>
        <w:t></w:t>
      </w:r>
      <w:r>
        <w:rPr>
          <w:sz w:val="24"/>
        </w:rPr>
        <w:tab/>
      </w:r>
      <w:r>
        <w:rPr>
          <w:rFonts w:hint="eastAsia"/>
          <w:sz w:val="24"/>
        </w:rPr>
        <w:t>在监测断面下游应预留参比方法采样孔，采样孔位置和数目按照</w:t>
      </w:r>
      <w:r>
        <w:rPr>
          <w:sz w:val="24"/>
        </w:rPr>
        <w:t>GB/T16157</w:t>
      </w:r>
      <w:r>
        <w:rPr>
          <w:rFonts w:hint="eastAsia"/>
          <w:sz w:val="24"/>
        </w:rPr>
        <w:t>的要求确定。现有污染源参比方法采样孔内径应≥</w:t>
      </w:r>
      <w:r>
        <w:rPr>
          <w:sz w:val="24"/>
        </w:rPr>
        <w:t>80mm</w:t>
      </w:r>
      <w:r>
        <w:rPr>
          <w:rFonts w:hint="eastAsia"/>
          <w:sz w:val="24"/>
        </w:rPr>
        <w:t>，新建或改建污染源参比方法采样孔内径应≥</w:t>
      </w:r>
      <w:r>
        <w:rPr>
          <w:sz w:val="24"/>
        </w:rPr>
        <w:t>90mm</w:t>
      </w:r>
      <w:r>
        <w:rPr>
          <w:rFonts w:hint="eastAsia"/>
          <w:sz w:val="24"/>
        </w:rPr>
        <w:t>。在互不影响测量的前提下</w:t>
      </w:r>
      <w:r>
        <w:rPr>
          <w:sz w:val="24"/>
        </w:rPr>
        <w:t>,</w:t>
      </w:r>
      <w:r>
        <w:rPr>
          <w:rFonts w:hint="eastAsia"/>
          <w:sz w:val="24"/>
        </w:rPr>
        <w:t>参比方法采样孔应尽可能靠近监测断面。当烟道为正压烟道或有毒气时，应采用带闸板阀的密封采样孔。</w:t>
      </w:r>
    </w:p>
    <w:p>
      <w:pPr>
        <w:spacing w:line="360" w:lineRule="auto"/>
        <w:rPr>
          <w:sz w:val="24"/>
        </w:rPr>
      </w:pPr>
      <w:r>
        <w:rPr>
          <w:sz w:val="24"/>
        </w:rPr>
        <w:t></w:t>
      </w:r>
      <w:r>
        <w:rPr>
          <w:sz w:val="24"/>
        </w:rPr>
        <w:tab/>
      </w:r>
      <w:r>
        <w:rPr>
          <w:rFonts w:hint="eastAsia"/>
          <w:sz w:val="24"/>
        </w:rPr>
        <w:t>采样口处绕烟道一周安装监测平台，平台使用钢架结构支撑，与烟道固定，承重按</w:t>
      </w:r>
      <w:r>
        <w:rPr>
          <w:sz w:val="24"/>
        </w:rPr>
        <w:t>400kg/m2</w:t>
      </w:r>
      <w:r>
        <w:rPr>
          <w:rFonts w:hint="eastAsia"/>
          <w:sz w:val="24"/>
        </w:rPr>
        <w:t>等效均布荷载设计。</w:t>
      </w:r>
    </w:p>
    <w:p>
      <w:pPr>
        <w:spacing w:line="360" w:lineRule="auto"/>
        <w:rPr>
          <w:rFonts w:hint="eastAsia"/>
          <w:sz w:val="24"/>
        </w:rPr>
      </w:pPr>
      <w:r>
        <w:rPr>
          <w:sz w:val="24"/>
        </w:rPr>
        <w:t></w:t>
      </w:r>
      <w:r>
        <w:rPr>
          <w:sz w:val="24"/>
        </w:rPr>
        <w:tab/>
      </w:r>
      <w:r>
        <w:rPr>
          <w:rFonts w:hint="eastAsia"/>
          <w:sz w:val="24"/>
        </w:rPr>
        <w:t>平台外边缘到管道外壁的距离不小于</w:t>
      </w:r>
      <w:r>
        <w:rPr>
          <w:sz w:val="24"/>
        </w:rPr>
        <w:t>1.3</w:t>
      </w:r>
      <w:r>
        <w:rPr>
          <w:rFonts w:hint="eastAsia"/>
          <w:sz w:val="24"/>
        </w:rPr>
        <w:t>米，护栏高度不小于</w:t>
      </w:r>
      <w:r>
        <w:rPr>
          <w:sz w:val="24"/>
        </w:rPr>
        <w:t>1.2</w:t>
      </w:r>
      <w:r>
        <w:rPr>
          <w:rFonts w:hint="eastAsia"/>
          <w:sz w:val="24"/>
        </w:rPr>
        <w:t>米；平台底面使用防滑钢板或者采用Φ</w:t>
      </w:r>
      <w:r>
        <w:rPr>
          <w:sz w:val="24"/>
        </w:rPr>
        <w:t>16</w:t>
      </w:r>
      <w:r>
        <w:rPr>
          <w:rFonts w:hint="eastAsia"/>
          <w:sz w:val="24"/>
        </w:rPr>
        <w:t>的圆钢制作踏棍，考虑雨天，不得积水，制成后的平台应涂防锈漆和面漆。</w:t>
      </w:r>
    </w:p>
    <w:p>
      <w:pPr>
        <w:spacing w:line="360" w:lineRule="auto"/>
        <w:rPr>
          <w:rFonts w:hint="eastAsia"/>
          <w:sz w:val="24"/>
        </w:rPr>
      </w:pPr>
      <w:r>
        <w:rPr>
          <w:rFonts w:hint="eastAsia"/>
          <w:b/>
          <w:bCs/>
          <w:sz w:val="24"/>
          <w:lang w:val="en-US" w:eastAsia="zh-CN"/>
        </w:rPr>
        <w:t>3、</w:t>
      </w:r>
      <w:r>
        <w:rPr>
          <w:rFonts w:hint="eastAsia"/>
          <w:b/>
          <w:bCs/>
          <w:sz w:val="24"/>
        </w:rPr>
        <w:t>斜梯建设要求</w:t>
      </w:r>
      <w:r>
        <w:rPr>
          <w:rFonts w:hint="eastAsia"/>
          <w:sz w:val="24"/>
        </w:rPr>
        <w:t>：</w:t>
      </w:r>
    </w:p>
    <w:p>
      <w:pPr>
        <w:spacing w:line="360" w:lineRule="auto"/>
        <w:rPr>
          <w:sz w:val="24"/>
        </w:rPr>
      </w:pPr>
      <w:r>
        <w:rPr>
          <w:sz w:val="24"/>
        </w:rPr>
        <w:t></w:t>
      </w:r>
      <w:r>
        <w:rPr>
          <w:sz w:val="24"/>
        </w:rPr>
        <w:tab/>
      </w:r>
      <w:r>
        <w:rPr>
          <w:rFonts w:hint="eastAsia"/>
          <w:sz w:val="24"/>
        </w:rPr>
        <w:t>在平台一侧建造上下平台用的梯子，到达监测口和采样口。</w:t>
      </w:r>
    </w:p>
    <w:p>
      <w:pPr>
        <w:spacing w:line="360" w:lineRule="auto"/>
        <w:rPr>
          <w:sz w:val="24"/>
        </w:rPr>
      </w:pPr>
      <w:r>
        <w:rPr>
          <w:sz w:val="24"/>
        </w:rPr>
        <w:t></w:t>
      </w:r>
      <w:r>
        <w:rPr>
          <w:sz w:val="24"/>
        </w:rPr>
        <w:tab/>
      </w:r>
      <w:r>
        <w:rPr>
          <w:rFonts w:hint="eastAsia"/>
          <w:sz w:val="24"/>
        </w:rPr>
        <w:t>梯宽宜为≥</w:t>
      </w:r>
      <w:r>
        <w:rPr>
          <w:sz w:val="24"/>
        </w:rPr>
        <w:t>0.9mm</w:t>
      </w:r>
      <w:r>
        <w:rPr>
          <w:rFonts w:hint="eastAsia"/>
          <w:sz w:val="24"/>
        </w:rPr>
        <w:t>。</w:t>
      </w:r>
    </w:p>
    <w:p>
      <w:pPr>
        <w:spacing w:line="360" w:lineRule="auto"/>
        <w:rPr>
          <w:sz w:val="24"/>
        </w:rPr>
      </w:pPr>
      <w:r>
        <w:rPr>
          <w:sz w:val="24"/>
        </w:rPr>
        <w:t></w:t>
      </w:r>
      <w:r>
        <w:rPr>
          <w:sz w:val="24"/>
        </w:rPr>
        <w:tab/>
      </w:r>
      <w:r>
        <w:rPr>
          <w:rFonts w:hint="eastAsia"/>
          <w:sz w:val="24"/>
        </w:rPr>
        <w:t>踏板采用厚度≥</w:t>
      </w:r>
      <w:r>
        <w:rPr>
          <w:sz w:val="24"/>
        </w:rPr>
        <w:t>4mm</w:t>
      </w:r>
      <w:r>
        <w:rPr>
          <w:rFonts w:hint="eastAsia"/>
          <w:sz w:val="24"/>
        </w:rPr>
        <w:t>的花纹钢板，或经防滑处理的普通钢板，或采用由</w:t>
      </w:r>
      <w:r>
        <w:rPr>
          <w:sz w:val="24"/>
        </w:rPr>
        <w:t>25×4</w:t>
      </w:r>
      <w:r>
        <w:rPr>
          <w:rFonts w:hint="eastAsia"/>
          <w:sz w:val="24"/>
        </w:rPr>
        <w:t>扁钢和小角钢组焊成的格子板。</w:t>
      </w:r>
    </w:p>
    <w:p>
      <w:pPr>
        <w:spacing w:line="360" w:lineRule="auto"/>
        <w:rPr>
          <w:sz w:val="24"/>
        </w:rPr>
      </w:pPr>
      <w:r>
        <w:rPr>
          <w:sz w:val="24"/>
        </w:rPr>
        <w:t></w:t>
      </w:r>
      <w:r>
        <w:rPr>
          <w:sz w:val="24"/>
        </w:rPr>
        <w:tab/>
      </w:r>
      <w:r>
        <w:rPr>
          <w:rFonts w:hint="eastAsia"/>
          <w:sz w:val="24"/>
        </w:rPr>
        <w:t>扶手高应为</w:t>
      </w:r>
      <w:r>
        <w:rPr>
          <w:sz w:val="24"/>
        </w:rPr>
        <w:t>900mm</w:t>
      </w:r>
      <w:r>
        <w:rPr>
          <w:rFonts w:hint="eastAsia"/>
          <w:sz w:val="24"/>
        </w:rPr>
        <w:t>，或与</w:t>
      </w:r>
      <w:r>
        <w:rPr>
          <w:sz w:val="24"/>
        </w:rPr>
        <w:t>GB4053.3</w:t>
      </w:r>
      <w:r>
        <w:rPr>
          <w:rFonts w:hint="eastAsia"/>
          <w:sz w:val="24"/>
        </w:rPr>
        <w:t>中规定的栏杆高度一致，采用外径（</w:t>
      </w:r>
      <w:r>
        <w:rPr>
          <w:sz w:val="24"/>
        </w:rPr>
        <w:t>30</w:t>
      </w:r>
      <w:r>
        <w:rPr>
          <w:rFonts w:hint="eastAsia"/>
          <w:sz w:val="24"/>
        </w:rPr>
        <w:t>～</w:t>
      </w:r>
      <w:r>
        <w:rPr>
          <w:sz w:val="24"/>
        </w:rPr>
        <w:t>50</w:t>
      </w:r>
      <w:r>
        <w:rPr>
          <w:rFonts w:hint="eastAsia"/>
          <w:sz w:val="24"/>
        </w:rPr>
        <w:t>）</w:t>
      </w:r>
      <w:r>
        <w:rPr>
          <w:sz w:val="24"/>
        </w:rPr>
        <w:t>mm</w:t>
      </w:r>
      <w:r>
        <w:rPr>
          <w:rFonts w:hint="eastAsia"/>
          <w:sz w:val="24"/>
        </w:rPr>
        <w:t>，壁厚大于等于</w:t>
      </w:r>
      <w:r>
        <w:rPr>
          <w:sz w:val="24"/>
        </w:rPr>
        <w:t>2.5mm</w:t>
      </w:r>
      <w:r>
        <w:rPr>
          <w:rFonts w:hint="eastAsia"/>
          <w:sz w:val="24"/>
        </w:rPr>
        <w:t>的管材。</w:t>
      </w:r>
    </w:p>
    <w:p>
      <w:pPr>
        <w:spacing w:line="360" w:lineRule="auto"/>
        <w:rPr>
          <w:sz w:val="24"/>
        </w:rPr>
      </w:pPr>
      <w:r>
        <w:rPr>
          <w:sz w:val="24"/>
        </w:rPr>
        <w:t></w:t>
      </w:r>
      <w:r>
        <w:rPr>
          <w:sz w:val="24"/>
        </w:rPr>
        <w:tab/>
      </w:r>
      <w:r>
        <w:rPr>
          <w:rFonts w:hint="eastAsia"/>
          <w:sz w:val="24"/>
        </w:rPr>
        <w:t>立柱宜采用截面大于等于</w:t>
      </w:r>
      <w:r>
        <w:rPr>
          <w:sz w:val="24"/>
        </w:rPr>
        <w:t>40×40×4</w:t>
      </w:r>
      <w:r>
        <w:rPr>
          <w:rFonts w:hint="eastAsia"/>
          <w:sz w:val="24"/>
        </w:rPr>
        <w:t>角钢或外径为</w:t>
      </w:r>
      <w:r>
        <w:rPr>
          <w:sz w:val="24"/>
        </w:rPr>
        <w:t>30</w:t>
      </w:r>
      <w:r>
        <w:rPr>
          <w:rFonts w:hint="eastAsia"/>
          <w:sz w:val="24"/>
        </w:rPr>
        <w:t>～</w:t>
      </w:r>
      <w:r>
        <w:rPr>
          <w:sz w:val="24"/>
        </w:rPr>
        <w:t>50mm</w:t>
      </w:r>
      <w:r>
        <w:rPr>
          <w:rFonts w:hint="eastAsia"/>
          <w:sz w:val="24"/>
        </w:rPr>
        <w:t>的管材。从第一级踏板开始设置，间距小于等于</w:t>
      </w:r>
      <w:r>
        <w:rPr>
          <w:sz w:val="24"/>
        </w:rPr>
        <w:t>1000mm</w:t>
      </w:r>
      <w:r>
        <w:rPr>
          <w:rFonts w:hint="eastAsia"/>
          <w:sz w:val="24"/>
        </w:rPr>
        <w:t>。横杆采用直径小于等于</w:t>
      </w:r>
      <w:r>
        <w:rPr>
          <w:sz w:val="24"/>
        </w:rPr>
        <w:t>16mm</w:t>
      </w:r>
      <w:r>
        <w:rPr>
          <w:rFonts w:hint="eastAsia"/>
          <w:sz w:val="24"/>
        </w:rPr>
        <w:t>圆钢或</w:t>
      </w:r>
      <w:r>
        <w:rPr>
          <w:sz w:val="24"/>
        </w:rPr>
        <w:t>30×4</w:t>
      </w:r>
      <w:r>
        <w:rPr>
          <w:rFonts w:hint="eastAsia"/>
          <w:sz w:val="24"/>
        </w:rPr>
        <w:t>扁钢，固定在立柱中部。</w:t>
      </w:r>
    </w:p>
    <w:p>
      <w:pPr>
        <w:spacing w:line="360" w:lineRule="auto"/>
        <w:rPr>
          <w:sz w:val="24"/>
        </w:rPr>
      </w:pPr>
      <w:r>
        <w:rPr>
          <w:sz w:val="24"/>
        </w:rPr>
        <w:t></w:t>
      </w:r>
      <w:r>
        <w:rPr>
          <w:sz w:val="24"/>
        </w:rPr>
        <w:tab/>
      </w:r>
      <w:r>
        <w:rPr>
          <w:rFonts w:hint="eastAsia"/>
          <w:sz w:val="24"/>
        </w:rPr>
        <w:t>梯高小于等于</w:t>
      </w:r>
      <w:r>
        <w:rPr>
          <w:sz w:val="24"/>
        </w:rPr>
        <w:t>5m</w:t>
      </w:r>
      <w:r>
        <w:rPr>
          <w:rFonts w:hint="eastAsia"/>
          <w:sz w:val="24"/>
        </w:rPr>
        <w:t>，大于</w:t>
      </w:r>
      <w:r>
        <w:rPr>
          <w:sz w:val="24"/>
        </w:rPr>
        <w:t>5m</w:t>
      </w:r>
      <w:r>
        <w:rPr>
          <w:rFonts w:hint="eastAsia"/>
          <w:sz w:val="24"/>
        </w:rPr>
        <w:t>时，应设梯间平台，分段设梯。　</w:t>
      </w:r>
    </w:p>
    <w:p>
      <w:pPr>
        <w:spacing w:line="360" w:lineRule="auto"/>
        <w:rPr>
          <w:sz w:val="24"/>
        </w:rPr>
      </w:pPr>
      <w:r>
        <w:rPr>
          <w:sz w:val="24"/>
        </w:rPr>
        <w:t></w:t>
      </w:r>
      <w:r>
        <w:rPr>
          <w:sz w:val="24"/>
        </w:rPr>
        <w:tab/>
      </w:r>
      <w:r>
        <w:rPr>
          <w:rFonts w:hint="eastAsia"/>
          <w:sz w:val="24"/>
        </w:rPr>
        <w:t>钢斜梯应全部采用焊接连接，所有构件表面应光滑无毛刺，安装后的钢斜梯不应有歪斜、扭曲、变形及其他缺陷。</w:t>
      </w:r>
    </w:p>
    <w:p>
      <w:pPr>
        <w:spacing w:line="360" w:lineRule="auto"/>
        <w:rPr>
          <w:sz w:val="24"/>
        </w:rPr>
      </w:pPr>
      <w:r>
        <w:rPr>
          <w:sz w:val="24"/>
        </w:rPr>
        <w:t></w:t>
      </w:r>
      <w:r>
        <w:rPr>
          <w:sz w:val="24"/>
        </w:rPr>
        <w:tab/>
      </w:r>
      <w:r>
        <w:rPr>
          <w:rFonts w:hint="eastAsia"/>
          <w:sz w:val="24"/>
        </w:rPr>
        <w:t>钢斜梯安装后，必须认真除锈并做防腐涂装。</w:t>
      </w:r>
    </w:p>
    <w:p>
      <w:pPr>
        <w:spacing w:line="360" w:lineRule="auto"/>
        <w:rPr>
          <w:rFonts w:hint="eastAsia"/>
          <w:sz w:val="24"/>
        </w:rPr>
      </w:pPr>
      <w:r>
        <w:rPr>
          <w:rFonts w:hint="eastAsia"/>
          <w:sz w:val="24"/>
        </w:rPr>
        <w:t>爬梯和平台示例图</w:t>
      </w:r>
    </w:p>
    <w:p>
      <w:pPr>
        <w:spacing w:line="360" w:lineRule="auto"/>
        <w:rPr>
          <w:rFonts w:hint="eastAsia"/>
          <w:b/>
          <w:bCs/>
          <w:sz w:val="24"/>
        </w:rPr>
      </w:pPr>
      <w:r>
        <w:rPr>
          <w:rFonts w:hint="eastAsia"/>
          <w:b/>
          <w:bCs/>
          <w:sz w:val="24"/>
          <w:lang w:val="en-US" w:eastAsia="zh-CN"/>
        </w:rPr>
        <w:t>4</w:t>
      </w:r>
      <w:r>
        <w:rPr>
          <w:rFonts w:hint="eastAsia"/>
          <w:b/>
          <w:bCs/>
          <w:sz w:val="24"/>
        </w:rPr>
        <w:t>、采样点位选点要求</w:t>
      </w:r>
    </w:p>
    <w:p>
      <w:pPr>
        <w:spacing w:line="360" w:lineRule="auto"/>
        <w:rPr>
          <w:rFonts w:hint="eastAsia"/>
          <w:sz w:val="24"/>
        </w:rPr>
      </w:pPr>
      <w:r>
        <w:rPr>
          <w:rFonts w:hint="eastAsia"/>
          <w:sz w:val="24"/>
        </w:rPr>
        <w:t>参考环保标准HJ 75-2017，测量点的要求如下：</w:t>
      </w:r>
    </w:p>
    <w:p>
      <w:pPr>
        <w:spacing w:line="360" w:lineRule="auto"/>
        <w:rPr>
          <w:sz w:val="24"/>
        </w:rPr>
      </w:pPr>
      <w:r>
        <w:rPr>
          <w:sz w:val="24"/>
        </w:rPr>
        <w:t></w:t>
      </w:r>
      <w:r>
        <w:rPr>
          <w:sz w:val="24"/>
        </w:rPr>
        <w:tab/>
      </w:r>
      <w:r>
        <w:rPr>
          <w:rFonts w:hint="eastAsia"/>
          <w:sz w:val="24"/>
        </w:rPr>
        <w:t>优先选择垂直管段和烟道负压区域，确保所采集样品的代表性。</w:t>
      </w:r>
    </w:p>
    <w:p>
      <w:pPr>
        <w:spacing w:line="360" w:lineRule="auto"/>
        <w:rPr>
          <w:sz w:val="24"/>
        </w:rPr>
      </w:pPr>
      <w:r>
        <w:rPr>
          <w:sz w:val="24"/>
        </w:rPr>
        <w:t></w:t>
      </w:r>
      <w:r>
        <w:rPr>
          <w:sz w:val="24"/>
        </w:rPr>
        <w:tab/>
      </w:r>
      <w:r>
        <w:rPr>
          <w:rFonts w:hint="eastAsia"/>
          <w:sz w:val="24"/>
        </w:rPr>
        <w:t>测定位置应避开烟道弯头和断面急剧变化的部位。对于颗粒物</w:t>
      </w:r>
      <w:r>
        <w:rPr>
          <w:sz w:val="24"/>
        </w:rPr>
        <w:t>CEMS</w:t>
      </w:r>
      <w:r>
        <w:rPr>
          <w:rFonts w:hint="eastAsia"/>
          <w:sz w:val="24"/>
        </w:rPr>
        <w:t>和流速</w:t>
      </w:r>
      <w:r>
        <w:rPr>
          <w:sz w:val="24"/>
        </w:rPr>
        <w:t>CMS</w:t>
      </w:r>
      <w:r>
        <w:rPr>
          <w:rFonts w:hint="eastAsia"/>
          <w:sz w:val="24"/>
        </w:rPr>
        <w:t>，应设置在距弯头、阀门、变径管下游方向不小于</w:t>
      </w:r>
      <w:r>
        <w:rPr>
          <w:sz w:val="24"/>
        </w:rPr>
        <w:t>4</w:t>
      </w:r>
      <w:r>
        <w:rPr>
          <w:rFonts w:hint="eastAsia"/>
          <w:sz w:val="24"/>
        </w:rPr>
        <w:t>倍烟道直径，以及距上述部件上游方向不小于</w:t>
      </w:r>
      <w:r>
        <w:rPr>
          <w:sz w:val="24"/>
        </w:rPr>
        <w:t>2</w:t>
      </w:r>
      <w:r>
        <w:rPr>
          <w:rFonts w:hint="eastAsia"/>
          <w:sz w:val="24"/>
        </w:rPr>
        <w:t>倍烟道直径处。</w:t>
      </w:r>
    </w:p>
    <w:p>
      <w:pPr>
        <w:spacing w:line="360" w:lineRule="auto"/>
        <w:rPr>
          <w:sz w:val="24"/>
        </w:rPr>
      </w:pPr>
      <w:r>
        <w:rPr>
          <w:sz w:val="24"/>
        </w:rPr>
        <w:t></w:t>
      </w:r>
      <w:r>
        <w:rPr>
          <w:sz w:val="24"/>
        </w:rPr>
        <w:tab/>
      </w:r>
      <w:r>
        <w:rPr>
          <w:rFonts w:hint="eastAsia"/>
          <w:sz w:val="24"/>
        </w:rPr>
        <w:t>对于气态污染物</w:t>
      </w:r>
      <w:r>
        <w:rPr>
          <w:sz w:val="24"/>
        </w:rPr>
        <w:t>CEMS</w:t>
      </w:r>
      <w:r>
        <w:rPr>
          <w:rFonts w:hint="eastAsia"/>
          <w:sz w:val="24"/>
        </w:rPr>
        <w:t>，应设置在距弯头、阀门、变径管下游方向不小于</w:t>
      </w:r>
      <w:r>
        <w:rPr>
          <w:sz w:val="24"/>
        </w:rPr>
        <w:t>2</w:t>
      </w:r>
      <w:r>
        <w:rPr>
          <w:rFonts w:hint="eastAsia"/>
          <w:sz w:val="24"/>
        </w:rPr>
        <w:t>倍烟道直径，以及距上述部件上游方向不小于</w:t>
      </w:r>
      <w:r>
        <w:rPr>
          <w:sz w:val="24"/>
        </w:rPr>
        <w:t>0.5</w:t>
      </w:r>
      <w:r>
        <w:rPr>
          <w:rFonts w:hint="eastAsia"/>
          <w:sz w:val="24"/>
        </w:rPr>
        <w:t>倍烟道直径处。</w:t>
      </w:r>
    </w:p>
    <w:p>
      <w:pPr>
        <w:spacing w:line="360" w:lineRule="auto"/>
        <w:rPr>
          <w:sz w:val="24"/>
        </w:rPr>
      </w:pPr>
      <w:r>
        <w:rPr>
          <w:sz w:val="24"/>
        </w:rPr>
        <w:t></w:t>
      </w:r>
      <w:r>
        <w:rPr>
          <w:sz w:val="24"/>
        </w:rPr>
        <w:tab/>
      </w:r>
      <w:r>
        <w:rPr>
          <w:rFonts w:hint="eastAsia"/>
          <w:sz w:val="24"/>
        </w:rPr>
        <w:t>对矩形烟道，其当量直径</w:t>
      </w:r>
      <w:r>
        <w:rPr>
          <w:sz w:val="24"/>
        </w:rPr>
        <w:t>D=2AB/(A+B)</w:t>
      </w:r>
      <w:r>
        <w:rPr>
          <w:rFonts w:hint="eastAsia"/>
          <w:sz w:val="24"/>
        </w:rPr>
        <w:t>，式中</w:t>
      </w:r>
      <w:r>
        <w:rPr>
          <w:sz w:val="24"/>
        </w:rPr>
        <w:t>A</w:t>
      </w:r>
      <w:r>
        <w:rPr>
          <w:rFonts w:hint="eastAsia"/>
          <w:sz w:val="24"/>
        </w:rPr>
        <w:t>、</w:t>
      </w:r>
      <w:r>
        <w:rPr>
          <w:sz w:val="24"/>
        </w:rPr>
        <w:t>B</w:t>
      </w:r>
      <w:r>
        <w:rPr>
          <w:rFonts w:hint="eastAsia"/>
          <w:sz w:val="24"/>
        </w:rPr>
        <w:t>为边长。</w:t>
      </w:r>
    </w:p>
    <w:p>
      <w:pPr>
        <w:spacing w:line="360" w:lineRule="auto"/>
        <w:rPr>
          <w:rFonts w:hint="eastAsia"/>
          <w:sz w:val="24"/>
        </w:rPr>
      </w:pPr>
      <w:r>
        <w:rPr>
          <w:sz w:val="24"/>
        </w:rPr>
        <w:t></w:t>
      </w:r>
      <w:r>
        <w:rPr>
          <w:sz w:val="24"/>
        </w:rPr>
        <w:tab/>
      </w:r>
      <w:r>
        <w:rPr>
          <w:rFonts w:hint="eastAsia"/>
          <w:sz w:val="24"/>
        </w:rPr>
        <w:t>对于新建项目，采样平台应与排气装置同步设计、同步建设，确保采样断面满足标准要求；对于现有污染源，当无法找到满足标准的采样位置时，应尽可能选择在气流稳定的断面安装</w:t>
      </w:r>
      <w:r>
        <w:rPr>
          <w:sz w:val="24"/>
        </w:rPr>
        <w:t>CEMS</w:t>
      </w:r>
      <w:r>
        <w:rPr>
          <w:rFonts w:hint="eastAsia"/>
          <w:sz w:val="24"/>
        </w:rPr>
        <w:t>采样或分析探头，并采取相应措施保证监测断面烟气和颗粒物分布相对均匀，断面无紊流。</w:t>
      </w:r>
    </w:p>
    <w:p>
      <w:pPr>
        <w:spacing w:line="360" w:lineRule="auto"/>
        <w:rPr>
          <w:sz w:val="24"/>
        </w:rPr>
      </w:pPr>
      <w:r>
        <w:rPr>
          <w:sz w:val="24"/>
        </w:rPr>
        <w:t></w:t>
      </w:r>
      <w:r>
        <w:rPr>
          <w:sz w:val="24"/>
        </w:rPr>
        <w:tab/>
      </w:r>
      <w:r>
        <w:rPr>
          <w:rFonts w:hint="eastAsia"/>
          <w:sz w:val="24"/>
        </w:rPr>
        <w:t>为了便于颗粒物和流速参比方法的校验和比对监测，</w:t>
      </w:r>
      <w:r>
        <w:rPr>
          <w:sz w:val="24"/>
        </w:rPr>
        <w:t>CEMS</w:t>
      </w:r>
      <w:r>
        <w:rPr>
          <w:rFonts w:hint="eastAsia"/>
          <w:sz w:val="24"/>
        </w:rPr>
        <w:t>不宜安装在烟道内烟气流速小于</w:t>
      </w:r>
      <w:r>
        <w:rPr>
          <w:sz w:val="24"/>
        </w:rPr>
        <w:t>5m/s</w:t>
      </w:r>
      <w:r>
        <w:rPr>
          <w:rFonts w:hint="eastAsia"/>
          <w:sz w:val="24"/>
        </w:rPr>
        <w:t>的位置。</w:t>
      </w:r>
    </w:p>
    <w:p>
      <w:pPr>
        <w:spacing w:line="360" w:lineRule="auto"/>
        <w:rPr>
          <w:sz w:val="24"/>
        </w:rPr>
      </w:pPr>
      <w:r>
        <w:rPr>
          <w:sz w:val="24"/>
        </w:rPr>
        <w:t></w:t>
      </w:r>
      <w:r>
        <w:rPr>
          <w:sz w:val="24"/>
        </w:rPr>
        <w:tab/>
      </w:r>
      <w:r>
        <w:rPr>
          <w:rFonts w:hint="eastAsia"/>
          <w:sz w:val="24"/>
        </w:rPr>
        <w:t>环保验收对比孔应在烟气采样孔断面下游约</w:t>
      </w:r>
      <w:r>
        <w:rPr>
          <w:sz w:val="24"/>
        </w:rPr>
        <w:t>0.5</w:t>
      </w:r>
      <w:r>
        <w:rPr>
          <w:rFonts w:hint="eastAsia"/>
          <w:sz w:val="24"/>
        </w:rPr>
        <w:t>米处预留。</w:t>
      </w:r>
    </w:p>
    <w:p>
      <w:pPr>
        <w:spacing w:line="360" w:lineRule="auto"/>
        <w:rPr>
          <w:sz w:val="24"/>
        </w:rPr>
      </w:pPr>
      <w:r>
        <w:rPr>
          <w:sz w:val="24"/>
        </w:rPr>
        <w:t></w:t>
      </w:r>
      <w:r>
        <w:rPr>
          <w:sz w:val="24"/>
        </w:rPr>
        <w:tab/>
      </w:r>
      <w:r>
        <w:rPr>
          <w:rFonts w:hint="eastAsia"/>
          <w:sz w:val="24"/>
        </w:rPr>
        <w:t>当开孔位置无法以上要求时，测量点开孔需要由客户和环保检测部门共同确定。</w:t>
      </w:r>
    </w:p>
    <w:p>
      <w:pPr>
        <w:spacing w:line="360" w:lineRule="auto"/>
        <w:rPr>
          <w:sz w:val="24"/>
        </w:rPr>
      </w:pPr>
      <w:r>
        <w:rPr>
          <w:rFonts w:hint="eastAsia"/>
          <w:b/>
          <w:bCs/>
          <w:sz w:val="24"/>
          <w:lang w:val="en-US" w:eastAsia="zh-CN"/>
        </w:rPr>
        <w:t>5、</w:t>
      </w:r>
      <w:r>
        <w:rPr>
          <w:rFonts w:hint="eastAsia"/>
          <w:b/>
          <w:bCs/>
          <w:sz w:val="24"/>
        </w:rPr>
        <w:t>平台开孔尺寸要</w:t>
      </w:r>
      <w:r>
        <w:rPr>
          <w:rFonts w:hint="eastAsia"/>
          <w:sz w:val="24"/>
        </w:rPr>
        <w:t>求</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1"/>
        <w:gridCol w:w="269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序号</w:t>
            </w:r>
          </w:p>
        </w:tc>
        <w:tc>
          <w:tcPr>
            <w:tcW w:w="2551" w:type="dxa"/>
            <w:noWrap w:val="0"/>
            <w:vAlign w:val="center"/>
          </w:tcPr>
          <w:p>
            <w:pPr>
              <w:spacing w:line="360" w:lineRule="auto"/>
              <w:jc w:val="center"/>
              <w:rPr>
                <w:sz w:val="24"/>
              </w:rPr>
            </w:pPr>
            <w:r>
              <w:rPr>
                <w:sz w:val="24"/>
              </w:rPr>
              <w:t>开孔名称</w:t>
            </w:r>
          </w:p>
        </w:tc>
        <w:tc>
          <w:tcPr>
            <w:tcW w:w="2694" w:type="dxa"/>
            <w:noWrap w:val="0"/>
            <w:vAlign w:val="center"/>
          </w:tcPr>
          <w:p>
            <w:pPr>
              <w:spacing w:line="360" w:lineRule="auto"/>
              <w:jc w:val="center"/>
              <w:rPr>
                <w:sz w:val="24"/>
              </w:rPr>
            </w:pPr>
            <w:r>
              <w:rPr>
                <w:sz w:val="24"/>
              </w:rPr>
              <w:t>建议烟囱开孔尺寸（mm）</w:t>
            </w:r>
          </w:p>
        </w:tc>
        <w:tc>
          <w:tcPr>
            <w:tcW w:w="2835" w:type="dxa"/>
            <w:noWrap w:val="0"/>
            <w:vAlign w:val="center"/>
          </w:tcPr>
          <w:p>
            <w:pPr>
              <w:spacing w:line="360" w:lineRule="auto"/>
              <w:jc w:val="center"/>
              <w:rPr>
                <w:sz w:val="24"/>
              </w:rPr>
            </w:pPr>
            <w:r>
              <w:rPr>
                <w:sz w:val="24"/>
              </w:rPr>
              <w:t>建议离平台高度（mm）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1</w:t>
            </w:r>
          </w:p>
        </w:tc>
        <w:tc>
          <w:tcPr>
            <w:tcW w:w="2551" w:type="dxa"/>
            <w:noWrap w:val="0"/>
            <w:vAlign w:val="center"/>
          </w:tcPr>
          <w:p>
            <w:pPr>
              <w:spacing w:line="360" w:lineRule="auto"/>
              <w:jc w:val="center"/>
              <w:rPr>
                <w:sz w:val="24"/>
              </w:rPr>
            </w:pPr>
            <w:r>
              <w:rPr>
                <w:sz w:val="24"/>
              </w:rPr>
              <w:t>采样探头开孔</w:t>
            </w:r>
          </w:p>
        </w:tc>
        <w:tc>
          <w:tcPr>
            <w:tcW w:w="2694" w:type="dxa"/>
            <w:noWrap w:val="0"/>
            <w:vAlign w:val="center"/>
          </w:tcPr>
          <w:p>
            <w:pPr>
              <w:spacing w:line="360" w:lineRule="auto"/>
              <w:jc w:val="center"/>
              <w:rPr>
                <w:sz w:val="24"/>
              </w:rPr>
            </w:pPr>
            <w:r>
              <w:rPr>
                <w:sz w:val="24"/>
              </w:rPr>
              <w:t xml:space="preserve">Ø </w:t>
            </w:r>
            <w:r>
              <w:rPr>
                <w:rFonts w:hint="eastAsia"/>
                <w:sz w:val="24"/>
              </w:rPr>
              <w:t>55</w:t>
            </w:r>
            <w:r>
              <w:rPr>
                <w:sz w:val="24"/>
              </w:rPr>
              <w:t>mm</w:t>
            </w:r>
          </w:p>
        </w:tc>
        <w:tc>
          <w:tcPr>
            <w:tcW w:w="2835" w:type="dxa"/>
            <w:noWrap w:val="0"/>
            <w:vAlign w:val="center"/>
          </w:tcPr>
          <w:p>
            <w:pPr>
              <w:spacing w:line="360" w:lineRule="auto"/>
              <w:jc w:val="center"/>
              <w:rPr>
                <w:sz w:val="24"/>
              </w:rPr>
            </w:pPr>
            <w:r>
              <w:rPr>
                <w:sz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2</w:t>
            </w:r>
          </w:p>
        </w:tc>
        <w:tc>
          <w:tcPr>
            <w:tcW w:w="2551" w:type="dxa"/>
            <w:noWrap w:val="0"/>
            <w:vAlign w:val="center"/>
          </w:tcPr>
          <w:p>
            <w:pPr>
              <w:spacing w:line="360" w:lineRule="auto"/>
              <w:jc w:val="center"/>
              <w:rPr>
                <w:sz w:val="24"/>
              </w:rPr>
            </w:pPr>
            <w:r>
              <w:rPr>
                <w:sz w:val="24"/>
              </w:rPr>
              <w:t>温压流一体化开孔</w:t>
            </w:r>
          </w:p>
        </w:tc>
        <w:tc>
          <w:tcPr>
            <w:tcW w:w="2694" w:type="dxa"/>
            <w:noWrap w:val="0"/>
            <w:vAlign w:val="center"/>
          </w:tcPr>
          <w:p>
            <w:pPr>
              <w:spacing w:line="360" w:lineRule="auto"/>
              <w:jc w:val="center"/>
              <w:rPr>
                <w:sz w:val="24"/>
              </w:rPr>
            </w:pPr>
            <w:r>
              <w:rPr>
                <w:sz w:val="24"/>
              </w:rPr>
              <w:t xml:space="preserve">Ø </w:t>
            </w:r>
            <w:r>
              <w:rPr>
                <w:rFonts w:hint="eastAsia"/>
                <w:sz w:val="24"/>
              </w:rPr>
              <w:t>95mm</w:t>
            </w:r>
          </w:p>
        </w:tc>
        <w:tc>
          <w:tcPr>
            <w:tcW w:w="2835" w:type="dxa"/>
            <w:noWrap w:val="0"/>
            <w:vAlign w:val="center"/>
          </w:tcPr>
          <w:p>
            <w:pPr>
              <w:spacing w:line="360" w:lineRule="auto"/>
              <w:jc w:val="center"/>
              <w:rPr>
                <w:sz w:val="24"/>
              </w:rPr>
            </w:pPr>
            <w:r>
              <w:rPr>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3</w:t>
            </w:r>
          </w:p>
        </w:tc>
        <w:tc>
          <w:tcPr>
            <w:tcW w:w="2551" w:type="dxa"/>
            <w:noWrap w:val="0"/>
            <w:vAlign w:val="center"/>
          </w:tcPr>
          <w:p>
            <w:pPr>
              <w:spacing w:line="360" w:lineRule="auto"/>
              <w:jc w:val="center"/>
              <w:rPr>
                <w:sz w:val="24"/>
              </w:rPr>
            </w:pPr>
            <w:r>
              <w:rPr>
                <w:rFonts w:ascii="宋体" w:hAnsi="宋体"/>
                <w:sz w:val="24"/>
              </w:rPr>
              <w:t>粉尘仪开孔</w:t>
            </w:r>
            <w:r>
              <w:rPr>
                <w:rFonts w:hint="eastAsia"/>
                <w:sz w:val="24"/>
              </w:rPr>
              <w:t>LDM-100(D)</w:t>
            </w:r>
          </w:p>
        </w:tc>
        <w:tc>
          <w:tcPr>
            <w:tcW w:w="2694" w:type="dxa"/>
            <w:noWrap w:val="0"/>
            <w:vAlign w:val="center"/>
          </w:tcPr>
          <w:p>
            <w:pPr>
              <w:spacing w:line="360" w:lineRule="auto"/>
              <w:jc w:val="center"/>
              <w:rPr>
                <w:sz w:val="24"/>
              </w:rPr>
            </w:pPr>
            <w:r>
              <w:rPr>
                <w:sz w:val="24"/>
              </w:rPr>
              <w:t>Ø 80mm</w:t>
            </w:r>
          </w:p>
        </w:tc>
        <w:tc>
          <w:tcPr>
            <w:tcW w:w="2835" w:type="dxa"/>
            <w:noWrap w:val="0"/>
            <w:vAlign w:val="center"/>
          </w:tcPr>
          <w:p>
            <w:pPr>
              <w:spacing w:line="360" w:lineRule="auto"/>
              <w:jc w:val="center"/>
              <w:rPr>
                <w:sz w:val="24"/>
              </w:rPr>
            </w:pPr>
            <w:r>
              <w:rPr>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4</w:t>
            </w:r>
          </w:p>
        </w:tc>
        <w:tc>
          <w:tcPr>
            <w:tcW w:w="2551" w:type="dxa"/>
            <w:noWrap w:val="0"/>
            <w:vAlign w:val="center"/>
          </w:tcPr>
          <w:p>
            <w:pPr>
              <w:spacing w:line="360" w:lineRule="auto"/>
              <w:jc w:val="center"/>
              <w:rPr>
                <w:sz w:val="24"/>
              </w:rPr>
            </w:pPr>
            <w:r>
              <w:rPr>
                <w:sz w:val="24"/>
              </w:rPr>
              <w:t>环保比对开孔</w:t>
            </w:r>
          </w:p>
        </w:tc>
        <w:tc>
          <w:tcPr>
            <w:tcW w:w="2694" w:type="dxa"/>
            <w:noWrap w:val="0"/>
            <w:vAlign w:val="center"/>
          </w:tcPr>
          <w:p>
            <w:pPr>
              <w:spacing w:line="360" w:lineRule="auto"/>
              <w:jc w:val="center"/>
              <w:rPr>
                <w:sz w:val="24"/>
              </w:rPr>
            </w:pPr>
            <w:r>
              <w:rPr>
                <w:sz w:val="24"/>
              </w:rPr>
              <w:t>Ø108 mm</w:t>
            </w:r>
          </w:p>
        </w:tc>
        <w:tc>
          <w:tcPr>
            <w:tcW w:w="2835" w:type="dxa"/>
            <w:noWrap w:val="0"/>
            <w:vAlign w:val="center"/>
          </w:tcPr>
          <w:p>
            <w:pPr>
              <w:spacing w:line="360" w:lineRule="auto"/>
              <w:jc w:val="center"/>
              <w:rPr>
                <w:sz w:val="24"/>
              </w:rPr>
            </w:pPr>
          </w:p>
        </w:tc>
      </w:tr>
    </w:tbl>
    <w:p>
      <w:pPr>
        <w:spacing w:line="360" w:lineRule="auto"/>
        <w:rPr>
          <w:rFonts w:hint="eastAsia"/>
          <w:sz w:val="24"/>
        </w:rPr>
      </w:pPr>
    </w:p>
    <w:p>
      <w:pPr>
        <w:spacing w:line="360" w:lineRule="auto"/>
        <w:rPr>
          <w:rFonts w:hint="eastAsia"/>
          <w:b/>
          <w:bCs/>
          <w:sz w:val="24"/>
        </w:rPr>
      </w:pPr>
      <w:r>
        <w:rPr>
          <w:rFonts w:hint="eastAsia"/>
          <w:b/>
          <w:bCs/>
          <w:sz w:val="24"/>
          <w:lang w:val="en-US" w:eastAsia="zh-CN"/>
        </w:rPr>
        <w:t>6、</w:t>
      </w:r>
      <w:r>
        <w:rPr>
          <w:rFonts w:hint="eastAsia"/>
          <w:b/>
          <w:bCs/>
          <w:sz w:val="24"/>
        </w:rPr>
        <w:t>桥架铺设要求</w:t>
      </w:r>
    </w:p>
    <w:p>
      <w:pPr>
        <w:spacing w:line="360" w:lineRule="auto"/>
        <w:rPr>
          <w:rFonts w:hint="eastAsia"/>
          <w:sz w:val="24"/>
        </w:rPr>
      </w:pPr>
      <w:r>
        <w:rPr>
          <w:rFonts w:hint="eastAsia"/>
          <w:sz w:val="24"/>
        </w:rPr>
        <w:t>平台与分析小屋间的伴热传输管线、电缆线走线，采用桥架铺设的形式，桥架铺设要求如下：</w:t>
      </w:r>
    </w:p>
    <w:p>
      <w:pPr>
        <w:spacing w:line="360" w:lineRule="auto"/>
        <w:rPr>
          <w:sz w:val="24"/>
        </w:rPr>
      </w:pPr>
      <w:r>
        <w:rPr>
          <w:sz w:val="24"/>
        </w:rPr>
        <w:t></w:t>
      </w:r>
      <w:r>
        <w:rPr>
          <w:sz w:val="24"/>
        </w:rPr>
        <w:tab/>
      </w:r>
      <w:r>
        <w:rPr>
          <w:rFonts w:hint="eastAsia"/>
          <w:sz w:val="24"/>
        </w:rPr>
        <w:t>桥架及管线倾斜度≥</w:t>
      </w:r>
      <w:r>
        <w:rPr>
          <w:sz w:val="24"/>
        </w:rPr>
        <w:t>5°</w:t>
      </w:r>
      <w:r>
        <w:rPr>
          <w:rFonts w:hint="eastAsia"/>
          <w:sz w:val="24"/>
        </w:rPr>
        <w:t>，防止管线内积水，在每隔</w:t>
      </w:r>
      <w:r>
        <w:rPr>
          <w:sz w:val="24"/>
        </w:rPr>
        <w:t xml:space="preserve"> 4</w:t>
      </w:r>
      <w:r>
        <w:rPr>
          <w:rFonts w:hint="eastAsia"/>
          <w:sz w:val="24"/>
        </w:rPr>
        <w:t>～</w:t>
      </w:r>
      <w:r>
        <w:rPr>
          <w:sz w:val="24"/>
        </w:rPr>
        <w:t xml:space="preserve">5m </w:t>
      </w:r>
      <w:r>
        <w:rPr>
          <w:rFonts w:hint="eastAsia"/>
          <w:sz w:val="24"/>
        </w:rPr>
        <w:t>处装线卡箍。</w:t>
      </w:r>
    </w:p>
    <w:p>
      <w:pPr>
        <w:spacing w:line="360" w:lineRule="auto"/>
        <w:rPr>
          <w:sz w:val="24"/>
        </w:rPr>
      </w:pPr>
      <w:r>
        <w:rPr>
          <w:sz w:val="24"/>
        </w:rPr>
        <w:t></w:t>
      </w:r>
      <w:r>
        <w:rPr>
          <w:sz w:val="24"/>
        </w:rPr>
        <w:tab/>
      </w:r>
      <w:r>
        <w:rPr>
          <w:rFonts w:hint="eastAsia"/>
          <w:sz w:val="24"/>
        </w:rPr>
        <w:t>桥架安装应满足最大直径的最小弯曲半径要求，弯曲圆弧半径不能小于</w:t>
      </w:r>
      <w:r>
        <w:rPr>
          <w:sz w:val="24"/>
        </w:rPr>
        <w:t>0.5</w:t>
      </w:r>
      <w:r>
        <w:rPr>
          <w:rFonts w:hint="eastAsia"/>
          <w:sz w:val="24"/>
        </w:rPr>
        <w:t>米。</w:t>
      </w:r>
    </w:p>
    <w:p>
      <w:pPr>
        <w:spacing w:line="360" w:lineRule="auto"/>
        <w:rPr>
          <w:sz w:val="24"/>
        </w:rPr>
      </w:pPr>
      <w:r>
        <w:rPr>
          <w:sz w:val="24"/>
        </w:rPr>
        <w:t></w:t>
      </w:r>
      <w:r>
        <w:rPr>
          <w:sz w:val="24"/>
        </w:rPr>
        <w:tab/>
      </w:r>
      <w:r>
        <w:rPr>
          <w:rFonts w:hint="eastAsia"/>
          <w:sz w:val="24"/>
        </w:rPr>
        <w:t>电缆桥架的连接应采用连接片。</w:t>
      </w:r>
    </w:p>
    <w:p>
      <w:pPr>
        <w:spacing w:line="360" w:lineRule="auto"/>
        <w:rPr>
          <w:sz w:val="24"/>
        </w:rPr>
      </w:pPr>
      <w:r>
        <w:rPr>
          <w:sz w:val="24"/>
        </w:rPr>
        <w:t></w:t>
      </w:r>
      <w:r>
        <w:rPr>
          <w:sz w:val="24"/>
        </w:rPr>
        <w:tab/>
      </w:r>
      <w:r>
        <w:rPr>
          <w:rFonts w:hint="eastAsia"/>
          <w:sz w:val="24"/>
        </w:rPr>
        <w:t>配电套管应采用钢管和</w:t>
      </w:r>
      <w:r>
        <w:rPr>
          <w:sz w:val="24"/>
        </w:rPr>
        <w:t xml:space="preserve"> PVC </w:t>
      </w:r>
      <w:r>
        <w:rPr>
          <w:rFonts w:hint="eastAsia"/>
          <w:sz w:val="24"/>
        </w:rPr>
        <w:t>管材质配线管，其弯曲半径应满足最小弯曲半径要求。</w:t>
      </w:r>
      <w:r>
        <w:rPr>
          <w:sz w:val="24"/>
        </w:rPr>
        <w:t xml:space="preserve"> </w:t>
      </w:r>
    </w:p>
    <w:p>
      <w:pPr>
        <w:spacing w:line="360" w:lineRule="auto"/>
        <w:rPr>
          <w:rFonts w:hint="eastAsia"/>
          <w:sz w:val="24"/>
        </w:rPr>
      </w:pPr>
      <w:r>
        <w:rPr>
          <w:sz w:val="24"/>
        </w:rPr>
        <w:t></w:t>
      </w:r>
      <w:r>
        <w:rPr>
          <w:sz w:val="24"/>
        </w:rPr>
        <w:tab/>
      </w:r>
      <w:r>
        <w:rPr>
          <w:rFonts w:hint="eastAsia"/>
          <w:sz w:val="24"/>
        </w:rPr>
        <w:t>单路伴热管线、电缆线铺设，桥架规格不小于</w:t>
      </w:r>
      <w:r>
        <w:rPr>
          <w:sz w:val="24"/>
        </w:rPr>
        <w:t>150mm*100mm</w:t>
      </w:r>
      <w:r>
        <w:rPr>
          <w:rFonts w:hint="eastAsia"/>
          <w:sz w:val="24"/>
        </w:rPr>
        <w:t>，如桥架汇集合并，则桥架规格应相应增加。</w:t>
      </w:r>
    </w:p>
    <w:p>
      <w:pPr>
        <w:pStyle w:val="2"/>
      </w:pPr>
    </w:p>
    <w:p>
      <w:pPr>
        <w:numPr>
          <w:ilvl w:val="0"/>
          <w:numId w:val="6"/>
        </w:numPr>
        <w:spacing w:line="360" w:lineRule="auto"/>
        <w:rPr>
          <w:rFonts w:hint="eastAsia" w:ascii="宋体" w:hAnsi="宋体"/>
          <w:kern w:val="24"/>
          <w:sz w:val="24"/>
        </w:rPr>
      </w:pPr>
      <w:bookmarkStart w:id="13" w:name="_Toc202326667"/>
      <w:bookmarkStart w:id="14" w:name="_Toc202327141"/>
      <w:r>
        <w:rPr>
          <w:rFonts w:hint="eastAsia" w:ascii="宋体" w:hAnsi="宋体"/>
          <w:kern w:val="24"/>
          <w:sz w:val="24"/>
        </w:rPr>
        <w:t>甲乙双方工作分工</w:t>
      </w:r>
      <w:bookmarkEnd w:id="13"/>
      <w:bookmarkEnd w:id="14"/>
    </w:p>
    <w:tbl>
      <w:tblPr>
        <w:tblStyle w:val="19"/>
        <w:tblW w:w="5102" w:type="pct"/>
        <w:tblInd w:w="0" w:type="dxa"/>
        <w:tblLayout w:type="fixed"/>
        <w:tblCellMar>
          <w:top w:w="0" w:type="dxa"/>
          <w:left w:w="108" w:type="dxa"/>
          <w:bottom w:w="0" w:type="dxa"/>
          <w:right w:w="108" w:type="dxa"/>
        </w:tblCellMar>
      </w:tblPr>
      <w:tblGrid>
        <w:gridCol w:w="646"/>
        <w:gridCol w:w="4654"/>
        <w:gridCol w:w="633"/>
        <w:gridCol w:w="665"/>
        <w:gridCol w:w="843"/>
        <w:gridCol w:w="1255"/>
      </w:tblGrid>
      <w:tr>
        <w:tblPrEx>
          <w:tblCellMar>
            <w:top w:w="0" w:type="dxa"/>
            <w:left w:w="108" w:type="dxa"/>
            <w:bottom w:w="0" w:type="dxa"/>
            <w:right w:w="108" w:type="dxa"/>
          </w:tblCellMar>
        </w:tblPrEx>
        <w:trPr>
          <w:trHeight w:val="285"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b/>
                <w:bCs/>
                <w:kern w:val="0"/>
                <w:sz w:val="24"/>
              </w:rPr>
            </w:pPr>
            <w:r>
              <w:rPr>
                <w:rFonts w:hint="eastAsia" w:ascii="宋体" w:hAnsi="宋体"/>
                <w:b/>
                <w:bCs/>
                <w:kern w:val="0"/>
                <w:sz w:val="24"/>
              </w:rPr>
              <w:t>序号</w:t>
            </w:r>
          </w:p>
        </w:tc>
        <w:tc>
          <w:tcPr>
            <w:tcW w:w="267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b/>
                <w:bCs/>
                <w:kern w:val="0"/>
                <w:sz w:val="24"/>
              </w:rPr>
            </w:pPr>
            <w:r>
              <w:rPr>
                <w:rFonts w:hint="eastAsia" w:ascii="宋体" w:hAnsi="宋体"/>
                <w:b/>
                <w:bCs/>
                <w:kern w:val="0"/>
                <w:sz w:val="24"/>
              </w:rPr>
              <w:t>工作内容</w:t>
            </w:r>
          </w:p>
        </w:tc>
        <w:tc>
          <w:tcPr>
            <w:tcW w:w="363"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b/>
                <w:bCs/>
                <w:kern w:val="0"/>
                <w:sz w:val="24"/>
              </w:rPr>
            </w:pPr>
            <w:r>
              <w:rPr>
                <w:rFonts w:hint="eastAsia" w:ascii="宋体" w:hAnsi="宋体"/>
                <w:b/>
                <w:bCs/>
                <w:kern w:val="0"/>
                <w:sz w:val="24"/>
              </w:rPr>
              <w:t>卖方</w:t>
            </w:r>
          </w:p>
        </w:tc>
        <w:tc>
          <w:tcPr>
            <w:tcW w:w="382"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b/>
                <w:bCs/>
                <w:kern w:val="0"/>
                <w:sz w:val="24"/>
              </w:rPr>
            </w:pPr>
            <w:r>
              <w:rPr>
                <w:rFonts w:hint="eastAsia" w:ascii="宋体" w:hAnsi="宋体"/>
                <w:b/>
                <w:bCs/>
                <w:kern w:val="0"/>
                <w:sz w:val="24"/>
              </w:rPr>
              <w:t>买方</w:t>
            </w:r>
          </w:p>
        </w:tc>
        <w:tc>
          <w:tcPr>
            <w:tcW w:w="484"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b/>
                <w:bCs/>
                <w:kern w:val="0"/>
                <w:sz w:val="24"/>
              </w:rPr>
            </w:pPr>
            <w:r>
              <w:rPr>
                <w:rFonts w:hint="eastAsia" w:ascii="宋体" w:hAnsi="宋体"/>
                <w:b/>
                <w:bCs/>
                <w:kern w:val="0"/>
                <w:sz w:val="24"/>
              </w:rPr>
              <w:t>不需要</w:t>
            </w:r>
          </w:p>
        </w:tc>
        <w:tc>
          <w:tcPr>
            <w:tcW w:w="72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b/>
                <w:bCs/>
                <w:kern w:val="0"/>
                <w:sz w:val="24"/>
              </w:rPr>
            </w:pPr>
            <w:r>
              <w:rPr>
                <w:rFonts w:hint="eastAsia" w:ascii="宋体" w:hAnsi="宋体"/>
                <w:b/>
                <w:bCs/>
                <w:kern w:val="0"/>
                <w:sz w:val="24"/>
              </w:rPr>
              <w:t>备注</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现场环境勘察</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平台制作</w:t>
            </w:r>
            <w:r>
              <w:rPr>
                <w:kern w:val="0"/>
                <w:sz w:val="24"/>
              </w:rPr>
              <w:t>(</w:t>
            </w:r>
            <w:r>
              <w:rPr>
                <w:rFonts w:hint="eastAsia" w:ascii="宋体" w:hAnsi="宋体"/>
                <w:kern w:val="0"/>
                <w:sz w:val="24"/>
              </w:rPr>
              <w:t>平台位置是否符合开孔需求？备注栏注明</w:t>
            </w:r>
            <w:r>
              <w:rPr>
                <w:kern w:val="0"/>
                <w:sz w:val="24"/>
              </w:rPr>
              <w:t>)</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3</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爬梯与围栏制作</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4</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分析小屋制作</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5</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平台至小屋的桥架提供</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6</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平台至小屋的桥架铺设</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7</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平台至小屋的线缆提供</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8</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平台至小屋的线缆铺设</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9</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平台至小屋的线缆铺设是否需要破路</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10</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压缩空气提供</w:t>
            </w:r>
            <w:r>
              <w:rPr>
                <w:kern w:val="0"/>
                <w:sz w:val="24"/>
              </w:rPr>
              <w:t>(</w:t>
            </w:r>
            <w:r>
              <w:rPr>
                <w:rFonts w:hint="eastAsia" w:ascii="宋体" w:hAnsi="宋体"/>
                <w:kern w:val="0"/>
                <w:sz w:val="24"/>
              </w:rPr>
              <w:t>≥</w:t>
            </w:r>
            <w:r>
              <w:rPr>
                <w:kern w:val="0"/>
                <w:sz w:val="24"/>
              </w:rPr>
              <w:t>0.6mpa)</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11</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压缩空气管路铺设到分析小屋（含所需管材和辅料）</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12</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总电源至分析小屋的电缆提供</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13</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总电源至分析小屋的电缆铺设</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14</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总电源至分析小屋的电缆铺设是否需要破路</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15</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按合同的规定交货</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16</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设备运输</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17</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卸货与搬运至站房</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18</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开箱验收</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19</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包装材料与其他安装中产生的废料搬运至垃圾回收点</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20</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系统采样口开孔位置确定</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21</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设备搬运至平台</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22</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烟道开孔及平台设备焊接、固定</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23</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分析小屋地基建设</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24</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分析小屋吊装及固定</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25</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设备就位和固定</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26</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设备电路及气路安装</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27</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平台防爆挠性管提供</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28</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系统的安装、调试、试运行</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49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29</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接入中控室</w:t>
            </w:r>
            <w:r>
              <w:rPr>
                <w:kern w:val="0"/>
                <w:sz w:val="24"/>
              </w:rPr>
              <w:t>DCS</w:t>
            </w:r>
            <w:r>
              <w:rPr>
                <w:rFonts w:hint="eastAsia" w:ascii="宋体" w:hAnsi="宋体"/>
                <w:kern w:val="0"/>
                <w:sz w:val="24"/>
              </w:rPr>
              <w:t>、</w:t>
            </w:r>
            <w:r>
              <w:rPr>
                <w:kern w:val="0"/>
                <w:sz w:val="24"/>
              </w:rPr>
              <w:t>GDS</w:t>
            </w:r>
            <w:r>
              <w:rPr>
                <w:rFonts w:hint="eastAsia" w:ascii="宋体" w:hAnsi="宋体"/>
                <w:kern w:val="0"/>
                <w:sz w:val="24"/>
              </w:rPr>
              <w:t>（如需卖方负责，接入哪些数据？备注栏注明）</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30</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中控室</w:t>
            </w:r>
            <w:r>
              <w:rPr>
                <w:kern w:val="0"/>
                <w:sz w:val="24"/>
              </w:rPr>
              <w:t>DCS</w:t>
            </w:r>
            <w:r>
              <w:rPr>
                <w:rFonts w:hint="eastAsia" w:ascii="宋体" w:hAnsi="宋体"/>
                <w:kern w:val="0"/>
                <w:sz w:val="24"/>
              </w:rPr>
              <w:t>、</w:t>
            </w:r>
            <w:r>
              <w:rPr>
                <w:kern w:val="0"/>
                <w:sz w:val="24"/>
              </w:rPr>
              <w:t>GDS</w:t>
            </w:r>
            <w:r>
              <w:rPr>
                <w:rFonts w:hint="eastAsia" w:ascii="宋体" w:hAnsi="宋体"/>
                <w:kern w:val="0"/>
                <w:sz w:val="24"/>
              </w:rPr>
              <w:t>到小屋的线缆提供</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31</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中控室</w:t>
            </w:r>
            <w:r>
              <w:rPr>
                <w:kern w:val="0"/>
                <w:sz w:val="24"/>
              </w:rPr>
              <w:t>DCS</w:t>
            </w:r>
            <w:r>
              <w:rPr>
                <w:rFonts w:hint="eastAsia" w:ascii="宋体" w:hAnsi="宋体"/>
                <w:kern w:val="0"/>
                <w:sz w:val="24"/>
              </w:rPr>
              <w:t>、</w:t>
            </w:r>
            <w:r>
              <w:rPr>
                <w:kern w:val="0"/>
                <w:sz w:val="24"/>
              </w:rPr>
              <w:t>GDS</w:t>
            </w:r>
            <w:r>
              <w:rPr>
                <w:rFonts w:hint="eastAsia" w:ascii="宋体" w:hAnsi="宋体"/>
                <w:kern w:val="0"/>
                <w:sz w:val="24"/>
              </w:rPr>
              <w:t>到小屋的线缆铺设</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32</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中控室</w:t>
            </w:r>
            <w:r>
              <w:rPr>
                <w:kern w:val="0"/>
                <w:sz w:val="24"/>
              </w:rPr>
              <w:t>DCS</w:t>
            </w:r>
            <w:r>
              <w:rPr>
                <w:rFonts w:hint="eastAsia" w:ascii="宋体" w:hAnsi="宋体"/>
                <w:kern w:val="0"/>
                <w:sz w:val="24"/>
              </w:rPr>
              <w:t>、</w:t>
            </w:r>
            <w:r>
              <w:rPr>
                <w:kern w:val="0"/>
                <w:sz w:val="24"/>
              </w:rPr>
              <w:t>GDS</w:t>
            </w:r>
            <w:r>
              <w:rPr>
                <w:rFonts w:hint="eastAsia" w:ascii="宋体" w:hAnsi="宋体"/>
                <w:kern w:val="0"/>
                <w:sz w:val="24"/>
              </w:rPr>
              <w:t>到小屋的线缆铺设是否需要破路</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33</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设备连接至</w:t>
            </w:r>
            <w:r>
              <w:rPr>
                <w:kern w:val="0"/>
                <w:sz w:val="24"/>
              </w:rPr>
              <w:t>DCS</w:t>
            </w:r>
            <w:r>
              <w:rPr>
                <w:rFonts w:hint="eastAsia" w:ascii="宋体" w:hAnsi="宋体"/>
                <w:kern w:val="0"/>
                <w:sz w:val="24"/>
              </w:rPr>
              <w:t>、</w:t>
            </w:r>
            <w:r>
              <w:rPr>
                <w:kern w:val="0"/>
                <w:sz w:val="24"/>
              </w:rPr>
              <w:t>GDS</w:t>
            </w:r>
            <w:r>
              <w:rPr>
                <w:rFonts w:hint="eastAsia" w:ascii="宋体" w:hAnsi="宋体"/>
                <w:kern w:val="0"/>
                <w:sz w:val="24"/>
              </w:rPr>
              <w:t>的接口预留</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34</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系统厂内验收</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35</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提交有关的技术、图纸等资料</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36</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数据上传至环保局平台</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kern w:val="0"/>
                <w:sz w:val="24"/>
              </w:rPr>
            </w:pPr>
            <w:r>
              <w:rPr>
                <w:kern w:val="0"/>
                <w:sz w:val="24"/>
              </w:rPr>
              <w:t>3</w:t>
            </w:r>
            <w:r>
              <w:rPr>
                <w:rFonts w:hint="eastAsia"/>
                <w:kern w:val="0"/>
                <w:sz w:val="24"/>
              </w:rPr>
              <w:t>7</w:t>
            </w:r>
          </w:p>
        </w:tc>
        <w:tc>
          <w:tcPr>
            <w:tcW w:w="2675"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r>
              <w:rPr>
                <w:rFonts w:hint="eastAsia" w:ascii="宋体" w:hAnsi="宋体"/>
                <w:kern w:val="0"/>
                <w:sz w:val="24"/>
              </w:rPr>
              <w:t>环保验收</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kern w:val="0"/>
                <w:sz w:val="24"/>
              </w:rPr>
            </w:pPr>
            <w:r>
              <w:rPr>
                <w:rFonts w:hint="eastAsia"/>
                <w:kern w:val="0"/>
                <w:sz w:val="24"/>
              </w:rPr>
              <w:t>38</w:t>
            </w:r>
          </w:p>
        </w:tc>
        <w:tc>
          <w:tcPr>
            <w:tcW w:w="2675"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r>
              <w:rPr>
                <w:rFonts w:hint="eastAsia" w:ascii="宋体" w:hAnsi="宋体"/>
                <w:kern w:val="0"/>
                <w:sz w:val="24"/>
              </w:rPr>
              <w:t>环保验收专家评审</w:t>
            </w:r>
          </w:p>
        </w:tc>
        <w:tc>
          <w:tcPr>
            <w:tcW w:w="363"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r>
              <w:rPr>
                <w:kern w:val="0"/>
                <w:sz w:val="24"/>
              </w:rPr>
              <w:t>√</w:t>
            </w: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988" w:hRule="atLeast"/>
        </w:trPr>
        <w:tc>
          <w:tcPr>
            <w:tcW w:w="371" w:type="pct"/>
            <w:tcBorders>
              <w:top w:val="nil"/>
              <w:left w:val="single" w:color="auto" w:sz="4" w:space="0"/>
              <w:bottom w:val="single" w:color="auto" w:sz="4" w:space="0"/>
              <w:right w:val="single" w:color="auto" w:sz="4" w:space="0"/>
            </w:tcBorders>
            <w:noWrap/>
            <w:vAlign w:val="center"/>
          </w:tcPr>
          <w:p>
            <w:pPr>
              <w:widowControl/>
              <w:spacing w:line="360" w:lineRule="auto"/>
              <w:jc w:val="center"/>
              <w:rPr>
                <w:kern w:val="0"/>
                <w:sz w:val="24"/>
              </w:rPr>
            </w:pPr>
            <w:r>
              <w:rPr>
                <w:rFonts w:hint="eastAsia"/>
                <w:kern w:val="0"/>
                <w:sz w:val="24"/>
              </w:rPr>
              <w:t>39</w:t>
            </w:r>
          </w:p>
        </w:tc>
        <w:tc>
          <w:tcPr>
            <w:tcW w:w="2675"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rFonts w:hint="eastAsia" w:ascii="宋体" w:hAnsi="宋体"/>
                <w:kern w:val="0"/>
                <w:sz w:val="24"/>
              </w:rPr>
              <w:t>运维</w:t>
            </w:r>
          </w:p>
        </w:tc>
        <w:tc>
          <w:tcPr>
            <w:tcW w:w="363"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r>
              <w:rPr>
                <w:kern w:val="0"/>
                <w:sz w:val="24"/>
              </w:rPr>
              <w:t>√</w:t>
            </w:r>
          </w:p>
        </w:tc>
        <w:tc>
          <w:tcPr>
            <w:tcW w:w="382" w:type="pct"/>
            <w:tcBorders>
              <w:top w:val="nil"/>
              <w:left w:val="nil"/>
              <w:bottom w:val="single" w:color="auto" w:sz="4" w:space="0"/>
              <w:right w:val="single" w:color="auto" w:sz="4" w:space="0"/>
            </w:tcBorders>
            <w:noWrap w:val="0"/>
            <w:vAlign w:val="center"/>
          </w:tcPr>
          <w:p>
            <w:pPr>
              <w:widowControl/>
              <w:spacing w:line="360" w:lineRule="auto"/>
              <w:jc w:val="center"/>
              <w:rPr>
                <w:kern w:val="0"/>
                <w:sz w:val="24"/>
              </w:rPr>
            </w:pPr>
          </w:p>
        </w:tc>
        <w:tc>
          <w:tcPr>
            <w:tcW w:w="484"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p>
        </w:tc>
        <w:tc>
          <w:tcPr>
            <w:tcW w:w="721" w:type="pct"/>
            <w:tcBorders>
              <w:top w:val="nil"/>
              <w:left w:val="nil"/>
              <w:bottom w:val="single" w:color="auto" w:sz="4" w:space="0"/>
              <w:right w:val="single" w:color="auto" w:sz="4" w:space="0"/>
            </w:tcBorders>
            <w:noWrap/>
            <w:vAlign w:val="center"/>
          </w:tcPr>
          <w:p>
            <w:pPr>
              <w:widowControl/>
              <w:spacing w:line="360" w:lineRule="auto"/>
              <w:jc w:val="center"/>
              <w:rPr>
                <w:kern w:val="0"/>
                <w:sz w:val="24"/>
              </w:rPr>
            </w:pPr>
            <w:r>
              <w:rPr>
                <w:rFonts w:hint="eastAsia"/>
                <w:kern w:val="0"/>
                <w:sz w:val="24"/>
              </w:rPr>
              <w:t>提供一年运维</w:t>
            </w:r>
          </w:p>
        </w:tc>
      </w:tr>
    </w:tbl>
    <w:p>
      <w:pPr>
        <w:pStyle w:val="3"/>
        <w:pageBreakBefore w:val="0"/>
        <w:numPr>
          <w:ilvl w:val="0"/>
          <w:numId w:val="0"/>
        </w:numPr>
        <w:tabs>
          <w:tab w:val="clear" w:pos="432"/>
        </w:tabs>
        <w:kinsoku/>
        <w:wordWrap/>
        <w:overflowPunct/>
        <w:topLinePunct w:val="0"/>
        <w:autoSpaceDE/>
        <w:autoSpaceDN/>
        <w:bidi w:val="0"/>
        <w:spacing w:before="157" w:beforeLines="50" w:after="157" w:afterLines="50" w:line="20" w:lineRule="atLeast"/>
        <w:rPr>
          <w:rFonts w:hint="eastAsia" w:ascii="仿宋_GB2312" w:hAnsi="仿宋_GB2312" w:eastAsia="仿宋_GB2312" w:cs="仿宋_GB2312"/>
          <w:color w:val="000000" w:themeColor="text1"/>
          <w:sz w:val="30"/>
          <w:szCs w:val="30"/>
          <w14:textFill>
            <w14:solidFill>
              <w14:schemeClr w14:val="tx1"/>
            </w14:solidFill>
          </w14:textFill>
        </w:rPr>
      </w:pPr>
      <w:bookmarkStart w:id="15" w:name="_Toc519174358"/>
      <w:bookmarkStart w:id="16" w:name="_Toc470161363"/>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sz w:val="30"/>
          <w:szCs w:val="30"/>
          <w14:textFill>
            <w14:solidFill>
              <w14:schemeClr w14:val="tx1"/>
            </w14:solidFill>
          </w14:textFill>
        </w:rPr>
        <w:t>联网及信号传输</w:t>
      </w:r>
      <w:bookmarkEnd w:id="15"/>
      <w:bookmarkEnd w:id="16"/>
    </w:p>
    <w:p>
      <w:pPr>
        <w:pStyle w:val="4"/>
        <w:pageBreakBefore w:val="0"/>
        <w:numPr>
          <w:ilvl w:val="1"/>
          <w:numId w:val="0"/>
        </w:numPr>
        <w:tabs>
          <w:tab w:val="clear" w:pos="432"/>
          <w:tab w:val="clear" w:pos="575"/>
        </w:tabs>
        <w:kinsoku/>
        <w:wordWrap/>
        <w:overflowPunct/>
        <w:topLinePunct w:val="0"/>
        <w:autoSpaceDE/>
        <w:autoSpaceDN/>
        <w:bidi w:val="0"/>
        <w:spacing w:before="157" w:beforeLines="50" w:after="157" w:afterLines="50" w:line="20" w:lineRule="atLeast"/>
        <w:ind w:left="210" w:leftChars="0"/>
        <w:rPr>
          <w:rFonts w:hint="eastAsia" w:ascii="宋体" w:hAnsi="宋体" w:eastAsia="宋体" w:cs="宋体"/>
          <w:color w:val="000000" w:themeColor="text1"/>
          <w:sz w:val="24"/>
          <w:szCs w:val="24"/>
          <w:lang w:val="en-US" w:eastAsia="zh-CN"/>
          <w14:textFill>
            <w14:solidFill>
              <w14:schemeClr w14:val="tx1"/>
            </w14:solidFill>
          </w14:textFill>
        </w:rPr>
      </w:pPr>
      <w:bookmarkStart w:id="17" w:name="_Toc20096"/>
      <w:bookmarkStart w:id="18" w:name="_Toc519174359"/>
      <w:bookmarkStart w:id="19" w:name="_Toc471819917"/>
      <w:bookmarkStart w:id="20" w:name="_Toc486948246"/>
      <w:bookmarkStart w:id="21" w:name="_Toc471821061"/>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.1联网</w:t>
      </w:r>
      <w:bookmarkEnd w:id="17"/>
      <w:bookmarkEnd w:id="18"/>
      <w:bookmarkEnd w:id="19"/>
      <w:bookmarkEnd w:id="20"/>
      <w:bookmarkEnd w:id="21"/>
    </w:p>
    <w:p>
      <w:pPr>
        <w:pStyle w:val="4"/>
        <w:keepNext/>
        <w:keepLines/>
        <w:pageBreakBefore w:val="0"/>
        <w:widowControl w:val="0"/>
        <w:numPr>
          <w:ilvl w:val="1"/>
          <w:numId w:val="0"/>
        </w:numPr>
        <w:tabs>
          <w:tab w:val="clear" w:pos="575"/>
        </w:tabs>
        <w:kinsoku/>
        <w:wordWrap/>
        <w:overflowPunct/>
        <w:topLinePunct w:val="0"/>
        <w:autoSpaceDE/>
        <w:autoSpaceDN/>
        <w:bidi w:val="0"/>
        <w:adjustRightInd/>
        <w:snapToGrid/>
        <w:spacing w:before="157" w:beforeLines="50" w:after="157" w:afterLines="50" w:line="600" w:lineRule="exact"/>
        <w:ind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在线监测设备</w:t>
      </w:r>
      <w:r>
        <w:rPr>
          <w:rFonts w:hint="eastAsia" w:ascii="宋体" w:hAnsi="宋体" w:eastAsia="宋体" w:cs="宋体"/>
          <w:b w:val="0"/>
          <w:bCs w:val="0"/>
          <w:color w:val="000000" w:themeColor="text1"/>
          <w:sz w:val="24"/>
          <w:szCs w:val="24"/>
          <w14:textFill>
            <w14:solidFill>
              <w14:schemeClr w14:val="tx1"/>
            </w14:solidFill>
          </w14:textFill>
        </w:rPr>
        <w:t>需要与当地环保部门联网，</w:t>
      </w:r>
      <w:r>
        <w:rPr>
          <w:rFonts w:hint="eastAsia" w:ascii="宋体" w:hAnsi="宋体" w:eastAsia="宋体" w:cs="宋体"/>
          <w:b w:val="0"/>
          <w:bCs w:val="0"/>
          <w:color w:val="000000" w:themeColor="text1"/>
          <w:sz w:val="24"/>
          <w:szCs w:val="24"/>
          <w:lang w:eastAsia="zh-CN"/>
          <w14:textFill>
            <w14:solidFill>
              <w14:schemeClr w14:val="tx1"/>
            </w14:solidFill>
          </w14:textFill>
        </w:rPr>
        <w:t>甲方</w:t>
      </w:r>
      <w:r>
        <w:rPr>
          <w:rFonts w:hint="eastAsia" w:ascii="宋体" w:hAnsi="宋体" w:eastAsia="宋体" w:cs="宋体"/>
          <w:b w:val="0"/>
          <w:bCs w:val="0"/>
          <w:color w:val="000000" w:themeColor="text1"/>
          <w:sz w:val="24"/>
          <w:szCs w:val="24"/>
          <w14:textFill>
            <w14:solidFill>
              <w14:schemeClr w14:val="tx1"/>
            </w14:solidFill>
          </w14:textFill>
        </w:rPr>
        <w:t>应提供当地环保部门的通讯协议，以便</w:t>
      </w:r>
      <w:r>
        <w:rPr>
          <w:rFonts w:hint="eastAsia" w:ascii="宋体" w:hAnsi="宋体" w:eastAsia="宋体" w:cs="宋体"/>
          <w:b w:val="0"/>
          <w:bCs w:val="0"/>
          <w:color w:val="000000" w:themeColor="text1"/>
          <w:sz w:val="24"/>
          <w:szCs w:val="24"/>
          <w:lang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的CEMS能与环保部门联网,</w:t>
      </w:r>
      <w:r>
        <w:rPr>
          <w:rFonts w:hint="eastAsia" w:ascii="宋体" w:hAnsi="宋体" w:eastAsia="宋体" w:cs="宋体"/>
          <w:b w:val="0"/>
          <w:bCs w:val="0"/>
          <w:color w:val="000000" w:themeColor="text1"/>
          <w:sz w:val="24"/>
          <w:szCs w:val="24"/>
          <w:lang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预留通讯接口，联网设备(数采仪)、通讯卡（SIM卡）由</w:t>
      </w:r>
      <w:r>
        <w:rPr>
          <w:rFonts w:hint="eastAsia" w:ascii="宋体" w:hAnsi="宋体" w:eastAsia="宋体" w:cs="宋体"/>
          <w:b w:val="0"/>
          <w:bCs w:val="0"/>
          <w:color w:val="000000" w:themeColor="text1"/>
          <w:sz w:val="24"/>
          <w:szCs w:val="24"/>
          <w:lang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负责提供。</w:t>
      </w:r>
    </w:p>
    <w:p>
      <w:pPr>
        <w:pStyle w:val="4"/>
        <w:pageBreakBefore w:val="0"/>
        <w:widowControl w:val="0"/>
        <w:numPr>
          <w:ilvl w:val="1"/>
          <w:numId w:val="0"/>
        </w:numPr>
        <w:tabs>
          <w:tab w:val="clear" w:pos="432"/>
          <w:tab w:val="clear" w:pos="575"/>
        </w:tabs>
        <w:kinsoku/>
        <w:wordWrap/>
        <w:overflowPunct/>
        <w:topLinePunct w:val="0"/>
        <w:autoSpaceDE/>
        <w:autoSpaceDN/>
        <w:bidi w:val="0"/>
        <w:snapToGrid/>
        <w:spacing w:before="157" w:beforeLines="50" w:after="157" w:afterLines="50" w:line="600" w:lineRule="exact"/>
        <w:ind w:left="210" w:leftChars="0"/>
        <w:rPr>
          <w:rFonts w:hint="eastAsia" w:ascii="宋体" w:hAnsi="宋体" w:eastAsia="宋体" w:cs="宋体"/>
          <w:color w:val="000000" w:themeColor="text1"/>
          <w:sz w:val="24"/>
          <w:szCs w:val="24"/>
          <w:lang w:val="en-US" w:eastAsia="zh-CN"/>
          <w14:textFill>
            <w14:solidFill>
              <w14:schemeClr w14:val="tx1"/>
            </w14:solidFill>
          </w14:textFill>
        </w:rPr>
      </w:pPr>
      <w:bookmarkStart w:id="22" w:name="_Toc23696"/>
      <w:bookmarkStart w:id="23" w:name="_Toc519174360"/>
      <w:bookmarkStart w:id="24" w:name="_Toc471821062"/>
      <w:bookmarkStart w:id="25" w:name="_Toc486948247"/>
      <w:bookmarkStart w:id="26" w:name="_Toc471819918"/>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.2信号传输</w:t>
      </w:r>
      <w:bookmarkEnd w:id="22"/>
      <w:bookmarkEnd w:id="23"/>
      <w:bookmarkEnd w:id="24"/>
      <w:bookmarkEnd w:id="25"/>
      <w:bookmarkEnd w:id="26"/>
    </w:p>
    <w:p>
      <w:pPr>
        <w:pStyle w:val="29"/>
        <w:pageBreakBefore w:val="0"/>
        <w:widowControl w:val="0"/>
        <w:kinsoku/>
        <w:wordWrap/>
        <w:overflowPunct/>
        <w:topLinePunct w:val="0"/>
        <w:autoSpaceDE/>
        <w:autoSpaceDN/>
        <w:bidi w:val="0"/>
        <w:snapToGrid/>
        <w:spacing w:before="157" w:beforeLines="50" w:after="157" w:afterLines="50" w:line="600" w:lineRule="exac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在线监测设备CEMS系统需要给甲方DCS预留两路模拟量信号接口。</w:t>
      </w:r>
    </w:p>
    <w:p>
      <w:pPr>
        <w:pStyle w:val="4"/>
        <w:pageBreakBefore w:val="0"/>
        <w:widowControl w:val="0"/>
        <w:numPr>
          <w:ilvl w:val="1"/>
          <w:numId w:val="0"/>
        </w:numPr>
        <w:kinsoku/>
        <w:wordWrap/>
        <w:overflowPunct/>
        <w:topLinePunct w:val="0"/>
        <w:autoSpaceDE/>
        <w:autoSpaceDN/>
        <w:bidi w:val="0"/>
        <w:snapToGrid/>
        <w:spacing w:line="600" w:lineRule="exact"/>
        <w:ind w:leftChars="0"/>
        <w:rPr>
          <w:rFonts w:hint="eastAsia"/>
        </w:rPr>
      </w:pPr>
      <w:r>
        <w:rPr>
          <w:rFonts w:hint="eastAsia"/>
          <w:lang w:val="en-US" w:eastAsia="zh-CN"/>
        </w:rPr>
        <w:t>八</w:t>
      </w:r>
      <w:r>
        <w:rPr>
          <w:rFonts w:hint="eastAsia"/>
        </w:rPr>
        <w:t xml:space="preserve"> 售后服务</w:t>
      </w:r>
    </w:p>
    <w:p>
      <w:pPr>
        <w:pStyle w:val="3"/>
        <w:pageBreakBefore w:val="0"/>
        <w:widowControl w:val="0"/>
        <w:kinsoku/>
        <w:wordWrap/>
        <w:overflowPunct/>
        <w:topLinePunct w:val="0"/>
        <w:autoSpaceDE/>
        <w:autoSpaceDN/>
        <w:bidi w:val="0"/>
        <w:snapToGrid/>
        <w:spacing w:before="157" w:beforeLines="50" w:after="157" w:afterLines="50" w:line="6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7" w:name="_Toc470161364"/>
      <w:bookmarkStart w:id="28" w:name="_Toc519174365"/>
      <w:r>
        <w:rPr>
          <w:rFonts w:hint="eastAsia" w:asciiTheme="minorEastAsia" w:hAnsiTheme="minorEastAsia" w:eastAsiaTheme="minorEastAsia" w:cstheme="minorEastAsia"/>
          <w:color w:val="000000" w:themeColor="text1"/>
          <w:sz w:val="24"/>
          <w:szCs w:val="24"/>
          <w14:textFill>
            <w14:solidFill>
              <w14:schemeClr w14:val="tx1"/>
            </w14:solidFill>
          </w14:textFill>
        </w:rPr>
        <w:t>质量保证期</w:t>
      </w:r>
      <w:bookmarkEnd w:id="27"/>
      <w:bookmarkEnd w:id="28"/>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质量保证期见商务合同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在设备质保期内，因设备质量问题而造成的设备损坏或不能正常使用时，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已</w:t>
      </w:r>
      <w:r>
        <w:rPr>
          <w:rFonts w:hint="eastAsia" w:asciiTheme="minorEastAsia" w:hAnsiTheme="minorEastAsia" w:eastAsiaTheme="minorEastAsia" w:cstheme="minorEastAsia"/>
          <w:color w:val="000000" w:themeColor="text1"/>
          <w:sz w:val="24"/>
          <w:szCs w:val="24"/>
          <w14:textFill>
            <w14:solidFill>
              <w14:schemeClr w14:val="tx1"/>
            </w14:solidFill>
          </w14:textFill>
        </w:rPr>
        <w:t>方无偿修理或更换。在质保期内如CEMS系统发生问题，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保证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质保期内能够提供实时售后服务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，提出解决方案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（设备故障时及时采取，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手工监测数据，将有效报告上报环保部门，以免数据采集故障时，给甲方造成环保事件）</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。质量保证期满后对CEMS系统提供终身有偿服务，并保证长期及时有偿供应备品备件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，设备整体质保期一年或货到现场之日起18个月。</w:t>
      </w:r>
    </w:p>
    <w:p>
      <w:pPr>
        <w:pageBreakBefore w:val="0"/>
        <w:widowControl w:val="0"/>
        <w:kinsoku/>
        <w:wordWrap/>
        <w:overflowPunct/>
        <w:topLinePunct w:val="0"/>
        <w:autoSpaceDE/>
        <w:autoSpaceDN/>
        <w:bidi w:val="0"/>
        <w:snapToGrid/>
        <w:spacing w:line="600" w:lineRule="exact"/>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服务</w:t>
      </w:r>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提供现场培训计划，对</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的使用操作人员进行切实有效的培训，确保产品能良好地运作。主要培训内容为产品的基本结构、性能、主要部件的构造及处理，日常使用操作、保养与管理、常见故障的排除、紧急情况的处理等，如</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未使用过同类型产品，</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还需就产品的功能对</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人员进行相应的技术培训，培训地点主要在产品使用现场或由</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安排。</w:t>
      </w:r>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在质保期内</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对产品质量实行三包，因设备配置、设备或零部件制造质量问题而引起的故障，</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应在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小时内立即予以免费维修或更换，保证设备及时恢复正常，由此引起的一切费用由</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承担。</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在质保期内，如有质量问题但无法提供损坏配件的，</w:t>
      </w:r>
      <w:r>
        <w:rPr>
          <w:rFonts w:hint="eastAsia" w:asciiTheme="minorEastAsia" w:hAnsiTheme="minorEastAsia" w:eastAsiaTheme="minorEastAsia" w:cstheme="minorEastAsia"/>
          <w:color w:val="000000" w:themeColor="text1"/>
          <w:kern w:val="0"/>
          <w:sz w:val="24"/>
          <w:szCs w:val="24"/>
          <w:u w:val="singl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应予以免费更换。</w:t>
      </w:r>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在保修期内免费提供零件及服务，并应及时有效，设备发生故障后，如</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无法排除故障问题，</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应在收到</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信息后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1个</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工作日内给予书面回复并确认服务工程师和提供相关所需资料。由此产生的一切相关费用由</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负责。保修期后应提供长期优质服务。在使用寿命期内，</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应保证对设备的零件、易损件的供应。</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应在质保期内免费提供一家具有污染源在线监测系统运维资质的运维单位，使其负责设备一年期的运营维护技术服务，提供</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免费上门维修和技术服务。招标采购的设备，</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方应在投标文件中注明售后服务机构的名称、联系方法等。</w:t>
      </w:r>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保修期后的产品维护由双方协商再定。</w:t>
      </w:r>
    </w:p>
    <w:p>
      <w:pPr>
        <w:pageBreakBefore w:val="0"/>
        <w:widowControl w:val="0"/>
        <w:kinsoku/>
        <w:wordWrap/>
        <w:overflowPunct/>
        <w:topLinePunct w:val="0"/>
        <w:autoSpaceDE/>
        <w:autoSpaceDN/>
        <w:bidi w:val="0"/>
        <w:snapToGrid/>
        <w:spacing w:line="600" w:lineRule="exact"/>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违约责任</w:t>
      </w:r>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延期交货与安装，每延期一天，按延期交付的产品总额</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%交付违约金，最多不超过延期交付的产品总额的</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2在质保期内，由</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的原因造成的直接经济损失由</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负责赔偿。由于</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操作人员失误所造成的直接经济损失由</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负责。</w:t>
      </w:r>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所提供的产品型号、规格、质量等不符合合同规定标准的，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有权拒收，而</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应及时予以更换，并承担由此而发生的一切费用。</w:t>
      </w:r>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3.4</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方在履行合同中，如果所提供产品出现更改配置等弄虚作假行为，供方应向</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交纳违约金</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50000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元，同时，</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将视情节在3年内不允许其进入</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采购市场。</w:t>
      </w:r>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在履行合同中，如果在售后服务环节接到部门单位关于所供产品质量问题的通知后，凡是出现响应不及时、服务质量差、态度不好等问题的，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在接到正式情况反映后，都将按照程序进行调查核实予以处理。一经查实，情节严重的，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应交纳违约金</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10000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元，同时，</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视情况在3年内不允许其进入</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采购市场。</w:t>
      </w:r>
    </w:p>
    <w:p>
      <w:pPr>
        <w:pageBreakBefore w:val="0"/>
        <w:widowControl w:val="0"/>
        <w:kinsoku/>
        <w:wordWrap/>
        <w:overflowPunct/>
        <w:topLinePunct w:val="0"/>
        <w:autoSpaceDE/>
        <w:autoSpaceDN/>
        <w:bidi w:val="0"/>
        <w:snapToGrid/>
        <w:spacing w:line="60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在履行产品买卖合同中，如果为</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提供虚假发票或所供产品金额与所开发票金额不符等弄虚作假行为的，一经查实，情节严重的，供方应交纳违约金</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50000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元，同时，</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视情况在3年内不允许其进入</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采购市场。</w:t>
      </w:r>
    </w:p>
    <w:p>
      <w:pPr>
        <w:pStyle w:val="4"/>
        <w:numPr>
          <w:ilvl w:val="1"/>
          <w:numId w:val="0"/>
        </w:numPr>
        <w:ind w:leftChars="0"/>
        <w:rPr>
          <w:rFonts w:hint="eastAsia"/>
        </w:rPr>
      </w:pPr>
      <w:r>
        <w:rPr>
          <w:rFonts w:hint="eastAsia"/>
          <w:lang w:val="en-US" w:eastAsia="zh-CN"/>
        </w:rPr>
        <w:t>十一</w:t>
      </w:r>
      <w:r>
        <w:rPr>
          <w:rFonts w:hint="eastAsia"/>
        </w:rPr>
        <w:t xml:space="preserve"> 交货时间及地点</w:t>
      </w:r>
    </w:p>
    <w:p>
      <w:pPr>
        <w:tabs>
          <w:tab w:val="left" w:pos="-180"/>
          <w:tab w:val="left" w:pos="-120"/>
          <w:tab w:val="left" w:pos="720"/>
          <w:tab w:val="left" w:pos="1134"/>
        </w:tabs>
        <w:spacing w:line="360" w:lineRule="auto"/>
        <w:ind w:firstLine="480" w:firstLineChars="200"/>
        <w:rPr>
          <w:rFonts w:ascii="宋体" w:hAnsi="宋体"/>
          <w:sz w:val="24"/>
        </w:rPr>
      </w:pPr>
      <w:r>
        <w:rPr>
          <w:rFonts w:hint="eastAsia" w:ascii="宋体" w:hAnsi="宋体"/>
          <w:sz w:val="24"/>
        </w:rPr>
        <w:t>1、交货时间：合同签订后60天</w:t>
      </w:r>
      <w:r>
        <w:rPr>
          <w:rFonts w:ascii="宋体" w:hAnsi="宋体"/>
          <w:sz w:val="24"/>
        </w:rPr>
        <w:t>内</w:t>
      </w:r>
      <w:r>
        <w:rPr>
          <w:rFonts w:hint="eastAsia" w:ascii="宋体" w:hAnsi="宋体"/>
          <w:sz w:val="24"/>
        </w:rPr>
        <w:t>到货，到货之日起一周内安装、调试并联系环保验收，如因甲方原因无法安装调试，安装调试工期可根据甲方生产情况相应顺延，但安装调试环保验收绝对时间不超过</w:t>
      </w:r>
      <w:r>
        <w:rPr>
          <w:rFonts w:hint="eastAsia" w:ascii="宋体" w:hAnsi="宋体"/>
          <w:sz w:val="24"/>
          <w:highlight w:val="yellow"/>
        </w:rPr>
        <w:t>2022年11月30日</w:t>
      </w:r>
      <w:r>
        <w:rPr>
          <w:rFonts w:ascii="宋体" w:hAnsi="宋体"/>
          <w:sz w:val="24"/>
        </w:rPr>
        <w:t>。</w:t>
      </w:r>
    </w:p>
    <w:p>
      <w:pPr>
        <w:widowControl/>
        <w:tabs>
          <w:tab w:val="left" w:pos="-180"/>
          <w:tab w:val="left" w:pos="-120"/>
          <w:tab w:val="left" w:pos="720"/>
          <w:tab w:val="left" w:pos="1134"/>
        </w:tabs>
        <w:spacing w:line="360" w:lineRule="auto"/>
        <w:ind w:firstLine="480" w:firstLineChars="200"/>
        <w:jc w:val="left"/>
        <w:rPr>
          <w:rFonts w:hint="eastAsia" w:ascii="宋体" w:hAnsi="宋体"/>
          <w:sz w:val="24"/>
        </w:rPr>
      </w:pPr>
      <w:r>
        <w:rPr>
          <w:rFonts w:hint="eastAsia" w:ascii="宋体" w:hAnsi="宋体"/>
          <w:sz w:val="24"/>
        </w:rPr>
        <w:t>2、交货地点：甲方</w:t>
      </w:r>
      <w:r>
        <w:rPr>
          <w:rFonts w:ascii="宋体" w:hAnsi="宋体"/>
          <w:sz w:val="24"/>
        </w:rPr>
        <w:t>指定。</w:t>
      </w:r>
    </w:p>
    <w:p>
      <w:pPr>
        <w:pStyle w:val="4"/>
        <w:numPr>
          <w:ilvl w:val="1"/>
          <w:numId w:val="0"/>
        </w:numPr>
        <w:tabs>
          <w:tab w:val="clear" w:pos="432"/>
          <w:tab w:val="clear" w:pos="575"/>
        </w:tabs>
        <w:ind w:leftChars="0"/>
        <w:rPr>
          <w:rFonts w:hint="eastAsia"/>
        </w:rPr>
      </w:pPr>
      <w:r>
        <w:rPr>
          <w:rFonts w:hint="eastAsia"/>
          <w:lang w:val="en-US" w:eastAsia="zh-CN"/>
        </w:rPr>
        <w:t>十二</w:t>
      </w:r>
      <w:r>
        <w:rPr>
          <w:rFonts w:hint="eastAsia"/>
        </w:rPr>
        <w:t>其它</w:t>
      </w:r>
    </w:p>
    <w:p>
      <w:pPr>
        <w:tabs>
          <w:tab w:val="left" w:pos="540"/>
          <w:tab w:val="left" w:pos="840"/>
          <w:tab w:val="left" w:pos="1080"/>
        </w:tabs>
        <w:spacing w:line="360" w:lineRule="auto"/>
        <w:ind w:left="567" w:leftChars="270"/>
        <w:rPr>
          <w:rFonts w:hint="eastAsia" w:ascii="宋体" w:hAnsi="宋体"/>
          <w:sz w:val="24"/>
        </w:rPr>
      </w:pPr>
      <w:r>
        <w:rPr>
          <w:rFonts w:hint="eastAsia" w:ascii="宋体" w:hAnsi="宋体"/>
          <w:sz w:val="24"/>
        </w:rPr>
        <w:t>本协议一式四份，甲方三份，乙方一份。</w:t>
      </w:r>
    </w:p>
    <w:p>
      <w:pPr>
        <w:tabs>
          <w:tab w:val="left" w:pos="540"/>
          <w:tab w:val="left" w:pos="840"/>
          <w:tab w:val="left" w:pos="1080"/>
        </w:tabs>
        <w:spacing w:line="360" w:lineRule="auto"/>
        <w:rPr>
          <w:rFonts w:ascii="宋体" w:hAnsi="宋体"/>
          <w:szCs w:val="21"/>
        </w:rPr>
      </w:pPr>
    </w:p>
    <w:p>
      <w:pPr>
        <w:spacing w:line="360" w:lineRule="auto"/>
        <w:jc w:val="left"/>
        <w:rPr>
          <w:color w:val="auto"/>
        </w:rPr>
      </w:pPr>
      <w:r>
        <w:rPr>
          <w:rFonts w:hint="eastAsia"/>
          <w:color w:val="auto"/>
        </w:rPr>
        <w:t>---------------------------------------------------------------------------------------------------------------------</w:t>
      </w:r>
    </w:p>
    <w:p>
      <w:pPr>
        <w:spacing w:beforeLines="50" w:afterLines="50" w:line="360" w:lineRule="auto"/>
        <w:rPr>
          <w:rFonts w:hint="eastAsia" w:ascii="黑体" w:hAnsi="黑体" w:eastAsia="黑体" w:cs="黑体"/>
          <w:color w:val="auto"/>
        </w:rPr>
      </w:pPr>
      <w:r>
        <w:rPr>
          <w:rFonts w:hint="eastAsia" w:ascii="黑体" w:hAnsi="黑体" w:eastAsia="黑体" w:cs="黑体"/>
          <w:color w:val="auto"/>
          <w:lang w:eastAsia="zh-CN"/>
        </w:rPr>
        <w:t>甲方</w:t>
      </w:r>
      <w:r>
        <w:rPr>
          <w:rFonts w:hint="eastAsia" w:ascii="黑体" w:hAnsi="黑体" w:eastAsia="黑体" w:cs="黑体"/>
          <w:color w:val="auto"/>
        </w:rPr>
        <w:t>：</w:t>
      </w:r>
      <w:r>
        <w:rPr>
          <w:rFonts w:hint="eastAsia" w:ascii="黑体" w:hAnsi="黑体" w:eastAsia="黑体" w:cs="黑体"/>
          <w:color w:val="auto"/>
          <w:lang w:val="en-US" w:eastAsia="zh-CN"/>
        </w:rPr>
        <w:t xml:space="preserve">                                        </w:t>
      </w:r>
      <w:r>
        <w:rPr>
          <w:rFonts w:hint="eastAsia" w:ascii="黑体" w:hAnsi="黑体" w:eastAsia="黑体" w:cs="黑体"/>
          <w:color w:val="auto"/>
          <w:lang w:eastAsia="zh-CN"/>
        </w:rPr>
        <w:t>乙方</w:t>
      </w:r>
      <w:r>
        <w:rPr>
          <w:rFonts w:hint="eastAsia" w:ascii="黑体" w:hAnsi="黑体" w:eastAsia="黑体" w:cs="黑体"/>
          <w:color w:val="auto"/>
        </w:rPr>
        <w:t>：</w:t>
      </w:r>
    </w:p>
    <w:p>
      <w:pPr>
        <w:spacing w:beforeLines="50" w:afterLines="50" w:line="360" w:lineRule="auto"/>
        <w:rPr>
          <w:rFonts w:hint="eastAsia" w:ascii="黑体" w:hAnsi="黑体" w:eastAsia="黑体" w:cs="黑体"/>
          <w:color w:val="auto"/>
        </w:rPr>
      </w:pPr>
      <w:r>
        <w:rPr>
          <w:rFonts w:hint="eastAsia" w:ascii="黑体" w:hAnsi="黑体" w:eastAsia="黑体" w:cs="黑体"/>
          <w:color w:val="auto"/>
        </w:rPr>
        <w:t>委托代理人（或授权代表）：</w:t>
      </w:r>
      <w:r>
        <w:rPr>
          <w:rFonts w:hint="eastAsia" w:ascii="黑体" w:hAnsi="黑体" w:eastAsia="黑体" w:cs="黑体"/>
          <w:color w:val="auto"/>
        </w:rPr>
        <w:tab/>
      </w:r>
      <w:r>
        <w:rPr>
          <w:rFonts w:hint="eastAsia" w:ascii="黑体" w:hAnsi="黑体" w:eastAsia="黑体" w:cs="黑体"/>
          <w:color w:val="auto"/>
          <w:lang w:val="en-US" w:eastAsia="zh-CN"/>
        </w:rPr>
        <w:t xml:space="preserve">                 </w:t>
      </w:r>
      <w:r>
        <w:rPr>
          <w:rFonts w:hint="eastAsia" w:ascii="黑体" w:hAnsi="黑体" w:eastAsia="黑体" w:cs="黑体"/>
          <w:color w:val="auto"/>
        </w:rPr>
        <w:t>委托代理人</w:t>
      </w:r>
      <w:r>
        <w:rPr>
          <w:rFonts w:hint="eastAsia" w:ascii="黑体" w:hAnsi="黑体" w:eastAsia="黑体" w:cs="黑体"/>
          <w:color w:val="auto"/>
          <w:lang w:val="en-US" w:eastAsia="zh-CN"/>
        </w:rPr>
        <w:t>/</w:t>
      </w:r>
      <w:r>
        <w:rPr>
          <w:rFonts w:hint="eastAsia" w:ascii="黑体" w:hAnsi="黑体" w:eastAsia="黑体" w:cs="黑体"/>
          <w:color w:val="auto"/>
        </w:rPr>
        <w:t>或授权代表：</w:t>
      </w:r>
    </w:p>
    <w:p>
      <w:pPr>
        <w:spacing w:beforeLines="50" w:afterLines="50" w:line="360" w:lineRule="auto"/>
        <w:ind w:left="5145" w:hanging="5145" w:hangingChars="2450"/>
        <w:rPr>
          <w:rFonts w:hint="eastAsia" w:ascii="黑体" w:hAnsi="黑体" w:eastAsia="黑体" w:cs="黑体"/>
          <w:color w:val="auto"/>
        </w:rPr>
      </w:pPr>
      <w:r>
        <w:rPr>
          <w:rFonts w:hint="eastAsia" w:ascii="黑体" w:hAnsi="黑体" w:eastAsia="黑体" w:cs="黑体"/>
          <w:color w:val="auto"/>
        </w:rPr>
        <w:t>地址：</w:t>
      </w:r>
      <w:r>
        <w:rPr>
          <w:rFonts w:hint="eastAsia" w:ascii="黑体" w:hAnsi="黑体" w:eastAsia="黑体" w:cs="黑体"/>
          <w:color w:val="auto"/>
          <w:lang w:val="en-US" w:eastAsia="zh-CN"/>
        </w:rPr>
        <w:t xml:space="preserve">                          </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黑体" w:hAnsi="黑体" w:eastAsia="黑体" w:cs="黑体"/>
          <w:color w:val="auto"/>
        </w:rPr>
        <w:t>地址：</w:t>
      </w:r>
    </w:p>
    <w:p>
      <w:pPr>
        <w:spacing w:beforeLines="50" w:afterLines="50" w:line="360" w:lineRule="auto"/>
        <w:rPr>
          <w:rFonts w:hint="eastAsia" w:ascii="黑体" w:hAnsi="黑体" w:eastAsia="黑体" w:cs="黑体"/>
          <w:color w:val="auto"/>
        </w:rPr>
      </w:pPr>
      <w:r>
        <w:rPr>
          <w:rFonts w:hint="eastAsia" w:ascii="黑体" w:hAnsi="黑体" w:eastAsia="黑体" w:cs="黑体"/>
          <w:color w:val="auto"/>
        </w:rPr>
        <w:t>电话：</w:t>
      </w:r>
      <w:r>
        <w:rPr>
          <w:rFonts w:hint="eastAsia" w:ascii="黑体" w:hAnsi="黑体" w:eastAsia="黑体" w:cs="黑体"/>
          <w:color w:val="auto"/>
          <w:lang w:val="en-US" w:eastAsia="zh-CN"/>
        </w:rPr>
        <w:t xml:space="preserve">             </w:t>
      </w:r>
      <w:r>
        <w:rPr>
          <w:rFonts w:hint="eastAsia" w:ascii="黑体" w:hAnsi="黑体" w:eastAsia="黑体" w:cs="黑体"/>
          <w:color w:val="auto"/>
        </w:rPr>
        <w:tab/>
      </w:r>
      <w:r>
        <w:rPr>
          <w:rFonts w:hint="eastAsia" w:ascii="黑体" w:hAnsi="黑体" w:eastAsia="黑体" w:cs="黑体"/>
          <w:color w:val="auto"/>
        </w:rPr>
        <w:tab/>
      </w:r>
      <w:r>
        <w:rPr>
          <w:rFonts w:hint="eastAsia" w:ascii="黑体" w:hAnsi="黑体" w:eastAsia="黑体" w:cs="黑体"/>
          <w:color w:val="auto"/>
        </w:rPr>
        <w:tab/>
      </w:r>
      <w:r>
        <w:rPr>
          <w:rFonts w:hint="eastAsia" w:ascii="黑体" w:hAnsi="黑体" w:eastAsia="黑体" w:cs="黑体"/>
          <w:color w:val="auto"/>
        </w:rPr>
        <w:tab/>
      </w:r>
      <w:r>
        <w:rPr>
          <w:rFonts w:hint="eastAsia" w:ascii="黑体" w:hAnsi="黑体" w:eastAsia="黑体" w:cs="黑体"/>
          <w:color w:val="auto"/>
        </w:rPr>
        <w:tab/>
      </w:r>
      <w:r>
        <w:rPr>
          <w:rFonts w:hint="eastAsia" w:ascii="黑体" w:hAnsi="黑体" w:eastAsia="黑体" w:cs="黑体"/>
          <w:color w:val="auto"/>
          <w:lang w:val="en-US" w:eastAsia="zh-CN"/>
        </w:rPr>
        <w:t xml:space="preserve">         </w:t>
      </w:r>
      <w:r>
        <w:rPr>
          <w:rFonts w:hint="eastAsia" w:ascii="黑体" w:hAnsi="黑体" w:eastAsia="黑体" w:cs="黑体"/>
          <w:color w:val="auto"/>
        </w:rPr>
        <w:t>电话：</w:t>
      </w:r>
    </w:p>
    <w:p>
      <w:pPr>
        <w:widowControl/>
        <w:jc w:val="left"/>
        <w:rPr>
          <w:rFonts w:cs="宋体"/>
          <w:color w:val="auto"/>
          <w:sz w:val="18"/>
          <w:szCs w:val="18"/>
        </w:rPr>
      </w:pPr>
    </w:p>
    <w:sectPr>
      <w:headerReference r:id="rId4" w:type="first"/>
      <w:headerReference r:id="rId3" w:type="default"/>
      <w:footerReference r:id="rId5" w:type="default"/>
      <w:pgSz w:w="11906" w:h="16838"/>
      <w:pgMar w:top="1440" w:right="1800" w:bottom="1440" w:left="1800" w:header="851"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09F485-1F48-4B66-AE3A-D86D745053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A66DD41-C34D-430D-AC4F-2209C2068697}"/>
  </w:font>
  <w:font w:name="Cambria">
    <w:panose1 w:val="02040503050406030204"/>
    <w:charset w:val="00"/>
    <w:family w:val="roman"/>
    <w:pitch w:val="default"/>
    <w:sig w:usb0="E00002FF" w:usb1="400004FF" w:usb2="00000000" w:usb3="00000000" w:csb0="2000019F" w:csb1="00000000"/>
    <w:embedRegular r:id="rId3" w:fontKey="{B0B2F39C-A4B6-479D-9254-CCEC9C0302BF}"/>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F7B38B92-A59C-4C4F-BB12-535E0F270919}"/>
  </w:font>
  <w:font w:name="华文中宋">
    <w:panose1 w:val="02010600040101010101"/>
    <w:charset w:val="86"/>
    <w:family w:val="auto"/>
    <w:pitch w:val="default"/>
    <w:sig w:usb0="00000287" w:usb1="080F0000" w:usb2="00000000" w:usb3="00000000" w:csb0="0004009F" w:csb1="DFD70000"/>
    <w:embedRegular r:id="rId5" w:fontKey="{72F72F62-4390-43C4-9475-B4A276B7E16E}"/>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1438"/>
    </w:sdtPr>
    <w:sdtContent>
      <w:p>
        <w:pPr>
          <w:pStyle w:val="14"/>
          <w:jc w:val="center"/>
        </w:pPr>
        <w:r>
          <w:rPr>
            <w:rFonts w:hint="eastAsia"/>
          </w:rPr>
          <w:t>第</w:t>
        </w:r>
        <w:r>
          <w:fldChar w:fldCharType="begin"/>
        </w:r>
        <w:r>
          <w:instrText xml:space="preserve"> PAGE   \* MERGEFORMAT </w:instrText>
        </w:r>
        <w:r>
          <w:fldChar w:fldCharType="separate"/>
        </w:r>
        <w:r>
          <w:rPr>
            <w:lang w:val="zh-CN"/>
          </w:rPr>
          <w:t>10</w:t>
        </w:r>
        <w:r>
          <w:rPr>
            <w:lang w:val="zh-CN"/>
          </w:rPr>
          <w:fldChar w:fldCharType="end"/>
        </w:r>
        <w:r>
          <w:rPr>
            <w:rFonts w:hint="eastAsia"/>
          </w:rPr>
          <w:t>页/共14页</w:t>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right"/>
      <w:rPr>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lvlText w:val="第%1条"/>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8AE29E6"/>
    <w:multiLevelType w:val="multilevel"/>
    <w:tmpl w:val="08AE29E6"/>
    <w:lvl w:ilvl="0" w:tentative="0">
      <w:start w:val="1"/>
      <w:numFmt w:val="decimal"/>
      <w:pStyle w:val="31"/>
      <w:lvlText w:val="%1."/>
      <w:lvlJc w:val="left"/>
      <w:pPr>
        <w:tabs>
          <w:tab w:val="left" w:pos="360"/>
        </w:tabs>
        <w:ind w:left="360" w:hanging="360"/>
      </w:pPr>
      <w:rPr>
        <w:rFonts w:hint="eastAsia"/>
        <w:b w:val="0"/>
        <w:bCs w:val="0"/>
        <w:sz w:val="21"/>
        <w:szCs w:val="21"/>
      </w:rPr>
    </w:lvl>
    <w:lvl w:ilvl="1" w:tentative="0">
      <w:start w:val="1"/>
      <w:numFmt w:val="lowerLetter"/>
      <w:pStyle w:val="30"/>
      <w:lvlText w:val="%2)"/>
      <w:lvlJc w:val="left"/>
      <w:pPr>
        <w:tabs>
          <w:tab w:val="left" w:pos="840"/>
        </w:tabs>
        <w:ind w:left="840" w:hanging="420"/>
      </w:pPr>
    </w:lvl>
    <w:lvl w:ilvl="2" w:tentative="0">
      <w:start w:val="1"/>
      <w:numFmt w:val="lowerRoman"/>
      <w:pStyle w:val="3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E52D23"/>
    <w:multiLevelType w:val="multilevel"/>
    <w:tmpl w:val="19E52D23"/>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66445A"/>
    <w:multiLevelType w:val="multilevel"/>
    <w:tmpl w:val="4066445A"/>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580DA59"/>
    <w:multiLevelType w:val="multilevel"/>
    <w:tmpl w:val="5580DA59"/>
    <w:lvl w:ilvl="0" w:tentative="0">
      <w:start w:val="1"/>
      <w:numFmt w:val="decimal"/>
      <w:pStyle w:val="3"/>
      <w:lvlText w:val="%1."/>
      <w:lvlJc w:val="left"/>
      <w:pPr>
        <w:tabs>
          <w:tab w:val="left" w:pos="432"/>
        </w:tabs>
        <w:ind w:left="642" w:hanging="432"/>
      </w:pPr>
      <w:rPr>
        <w:rFonts w:hint="default"/>
      </w:rPr>
    </w:lvl>
    <w:lvl w:ilvl="1" w:tentative="0">
      <w:start w:val="1"/>
      <w:numFmt w:val="decimal"/>
      <w:pStyle w:val="4"/>
      <w:lvlText w:val="%1.%2."/>
      <w:lvlJc w:val="left"/>
      <w:pPr>
        <w:tabs>
          <w:tab w:val="left" w:pos="575"/>
        </w:tabs>
        <w:ind w:left="785" w:hanging="575"/>
      </w:pPr>
      <w:rPr>
        <w:rFonts w:hint="default"/>
        <w:sz w:val="24"/>
        <w:szCs w:val="24"/>
      </w:rPr>
    </w:lvl>
    <w:lvl w:ilvl="2" w:tentative="0">
      <w:start w:val="1"/>
      <w:numFmt w:val="decimal"/>
      <w:pStyle w:val="5"/>
      <w:lvlText w:val="%1.%2.%3."/>
      <w:lvlJc w:val="left"/>
      <w:pPr>
        <w:tabs>
          <w:tab w:val="left" w:pos="720"/>
        </w:tabs>
        <w:ind w:left="720" w:hanging="720"/>
      </w:pPr>
      <w:rPr>
        <w:rFonts w:hint="default"/>
        <w:sz w:val="24"/>
        <w:szCs w:val="24"/>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5">
    <w:nsid w:val="65861677"/>
    <w:multiLevelType w:val="multilevel"/>
    <w:tmpl w:val="6586167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YmIyYjZmM2U1NDNkY2FkM2NlMjA5OTU4Mjk3OWIifQ=="/>
  </w:docVars>
  <w:rsids>
    <w:rsidRoot w:val="00950293"/>
    <w:rsid w:val="00002645"/>
    <w:rsid w:val="00007FF4"/>
    <w:rsid w:val="00013967"/>
    <w:rsid w:val="0001798A"/>
    <w:rsid w:val="00027B27"/>
    <w:rsid w:val="0003177A"/>
    <w:rsid w:val="0005272E"/>
    <w:rsid w:val="0005356C"/>
    <w:rsid w:val="000661AF"/>
    <w:rsid w:val="000835AF"/>
    <w:rsid w:val="00086AFF"/>
    <w:rsid w:val="000A1062"/>
    <w:rsid w:val="000A6DEB"/>
    <w:rsid w:val="000A7822"/>
    <w:rsid w:val="000C10C9"/>
    <w:rsid w:val="000C2209"/>
    <w:rsid w:val="000C5A35"/>
    <w:rsid w:val="000C6464"/>
    <w:rsid w:val="000E113E"/>
    <w:rsid w:val="000F06F5"/>
    <w:rsid w:val="0010252D"/>
    <w:rsid w:val="00103CB9"/>
    <w:rsid w:val="00104C32"/>
    <w:rsid w:val="00111809"/>
    <w:rsid w:val="00121374"/>
    <w:rsid w:val="00125F66"/>
    <w:rsid w:val="00135FA6"/>
    <w:rsid w:val="00160272"/>
    <w:rsid w:val="00174F21"/>
    <w:rsid w:val="001767C8"/>
    <w:rsid w:val="001833B4"/>
    <w:rsid w:val="001879CD"/>
    <w:rsid w:val="00196898"/>
    <w:rsid w:val="001B6FD1"/>
    <w:rsid w:val="001C2D28"/>
    <w:rsid w:val="001C3C5B"/>
    <w:rsid w:val="001D6114"/>
    <w:rsid w:val="001F66E5"/>
    <w:rsid w:val="001F7C69"/>
    <w:rsid w:val="002006FC"/>
    <w:rsid w:val="00201C23"/>
    <w:rsid w:val="00202C77"/>
    <w:rsid w:val="00210E87"/>
    <w:rsid w:val="00216D4D"/>
    <w:rsid w:val="002220D2"/>
    <w:rsid w:val="002244E1"/>
    <w:rsid w:val="00224AD6"/>
    <w:rsid w:val="00233A13"/>
    <w:rsid w:val="00233A26"/>
    <w:rsid w:val="00235C6E"/>
    <w:rsid w:val="002363F7"/>
    <w:rsid w:val="00242492"/>
    <w:rsid w:val="00245BD9"/>
    <w:rsid w:val="00260974"/>
    <w:rsid w:val="00267D78"/>
    <w:rsid w:val="00280042"/>
    <w:rsid w:val="00296B10"/>
    <w:rsid w:val="002971EA"/>
    <w:rsid w:val="002A1D6B"/>
    <w:rsid w:val="002A4D94"/>
    <w:rsid w:val="002A6CDE"/>
    <w:rsid w:val="002B2052"/>
    <w:rsid w:val="002C253A"/>
    <w:rsid w:val="002C3989"/>
    <w:rsid w:val="002C5802"/>
    <w:rsid w:val="002D235B"/>
    <w:rsid w:val="00313998"/>
    <w:rsid w:val="0032629A"/>
    <w:rsid w:val="00326E4F"/>
    <w:rsid w:val="00336537"/>
    <w:rsid w:val="003660F5"/>
    <w:rsid w:val="00372CA1"/>
    <w:rsid w:val="003747ED"/>
    <w:rsid w:val="00376B69"/>
    <w:rsid w:val="00383817"/>
    <w:rsid w:val="00393FF2"/>
    <w:rsid w:val="003946DC"/>
    <w:rsid w:val="003B354E"/>
    <w:rsid w:val="003B3DAE"/>
    <w:rsid w:val="003C0202"/>
    <w:rsid w:val="003C5657"/>
    <w:rsid w:val="003E14F6"/>
    <w:rsid w:val="003F08E1"/>
    <w:rsid w:val="003F7058"/>
    <w:rsid w:val="00422189"/>
    <w:rsid w:val="00442CF6"/>
    <w:rsid w:val="004455D1"/>
    <w:rsid w:val="00451D3E"/>
    <w:rsid w:val="00455759"/>
    <w:rsid w:val="00463B0E"/>
    <w:rsid w:val="00464F80"/>
    <w:rsid w:val="00466658"/>
    <w:rsid w:val="00471F95"/>
    <w:rsid w:val="00472460"/>
    <w:rsid w:val="004740A3"/>
    <w:rsid w:val="004C4354"/>
    <w:rsid w:val="004D22DC"/>
    <w:rsid w:val="004D7509"/>
    <w:rsid w:val="004D7D8F"/>
    <w:rsid w:val="004E5698"/>
    <w:rsid w:val="004E61E0"/>
    <w:rsid w:val="005016E9"/>
    <w:rsid w:val="00516E28"/>
    <w:rsid w:val="00531288"/>
    <w:rsid w:val="00545649"/>
    <w:rsid w:val="005509B7"/>
    <w:rsid w:val="005559CD"/>
    <w:rsid w:val="0055687A"/>
    <w:rsid w:val="00564AE5"/>
    <w:rsid w:val="005677D0"/>
    <w:rsid w:val="005745D2"/>
    <w:rsid w:val="00577C76"/>
    <w:rsid w:val="005A29B4"/>
    <w:rsid w:val="005B0C34"/>
    <w:rsid w:val="005D0A72"/>
    <w:rsid w:val="005D1C55"/>
    <w:rsid w:val="005E310B"/>
    <w:rsid w:val="005E6911"/>
    <w:rsid w:val="005F33E9"/>
    <w:rsid w:val="0060344D"/>
    <w:rsid w:val="00607D01"/>
    <w:rsid w:val="00610755"/>
    <w:rsid w:val="00612060"/>
    <w:rsid w:val="006312C3"/>
    <w:rsid w:val="00634CB3"/>
    <w:rsid w:val="00640AF1"/>
    <w:rsid w:val="00664CC5"/>
    <w:rsid w:val="00671C64"/>
    <w:rsid w:val="006724E3"/>
    <w:rsid w:val="00675FF1"/>
    <w:rsid w:val="00676B35"/>
    <w:rsid w:val="00685F79"/>
    <w:rsid w:val="00690627"/>
    <w:rsid w:val="00691D61"/>
    <w:rsid w:val="0069632F"/>
    <w:rsid w:val="006A0716"/>
    <w:rsid w:val="006B6F35"/>
    <w:rsid w:val="006C5319"/>
    <w:rsid w:val="006C7D46"/>
    <w:rsid w:val="006E13D2"/>
    <w:rsid w:val="00711DD7"/>
    <w:rsid w:val="0071686E"/>
    <w:rsid w:val="00716CCA"/>
    <w:rsid w:val="00734725"/>
    <w:rsid w:val="00734BE2"/>
    <w:rsid w:val="00756629"/>
    <w:rsid w:val="007626ED"/>
    <w:rsid w:val="00764764"/>
    <w:rsid w:val="00770E10"/>
    <w:rsid w:val="00772867"/>
    <w:rsid w:val="00775038"/>
    <w:rsid w:val="0079602A"/>
    <w:rsid w:val="007B4A07"/>
    <w:rsid w:val="007B50DF"/>
    <w:rsid w:val="007C5A92"/>
    <w:rsid w:val="007F245B"/>
    <w:rsid w:val="007F3C38"/>
    <w:rsid w:val="007F3F8C"/>
    <w:rsid w:val="007F7C6D"/>
    <w:rsid w:val="00802B15"/>
    <w:rsid w:val="008076DA"/>
    <w:rsid w:val="00821200"/>
    <w:rsid w:val="008309F9"/>
    <w:rsid w:val="00832530"/>
    <w:rsid w:val="00837DC3"/>
    <w:rsid w:val="00846E69"/>
    <w:rsid w:val="00856764"/>
    <w:rsid w:val="0088210D"/>
    <w:rsid w:val="008827F9"/>
    <w:rsid w:val="00884637"/>
    <w:rsid w:val="008903CF"/>
    <w:rsid w:val="008B09AA"/>
    <w:rsid w:val="008C121C"/>
    <w:rsid w:val="008C5CF9"/>
    <w:rsid w:val="008C66B1"/>
    <w:rsid w:val="008D4B5E"/>
    <w:rsid w:val="008D4CCF"/>
    <w:rsid w:val="008E4186"/>
    <w:rsid w:val="008F40AC"/>
    <w:rsid w:val="009007C8"/>
    <w:rsid w:val="00920C2B"/>
    <w:rsid w:val="0093448D"/>
    <w:rsid w:val="00947B67"/>
    <w:rsid w:val="00950293"/>
    <w:rsid w:val="00954527"/>
    <w:rsid w:val="0095565B"/>
    <w:rsid w:val="009651D0"/>
    <w:rsid w:val="00966C45"/>
    <w:rsid w:val="00975307"/>
    <w:rsid w:val="00986AF7"/>
    <w:rsid w:val="009A1FC7"/>
    <w:rsid w:val="009A6653"/>
    <w:rsid w:val="009B297E"/>
    <w:rsid w:val="009C40C3"/>
    <w:rsid w:val="009C4F52"/>
    <w:rsid w:val="009E5994"/>
    <w:rsid w:val="00A25A24"/>
    <w:rsid w:val="00A52635"/>
    <w:rsid w:val="00A56FA6"/>
    <w:rsid w:val="00A74C53"/>
    <w:rsid w:val="00A7538B"/>
    <w:rsid w:val="00A76B02"/>
    <w:rsid w:val="00A86052"/>
    <w:rsid w:val="00A925D8"/>
    <w:rsid w:val="00A9360B"/>
    <w:rsid w:val="00AD1142"/>
    <w:rsid w:val="00AD1DE3"/>
    <w:rsid w:val="00AD1F5C"/>
    <w:rsid w:val="00AE2CF0"/>
    <w:rsid w:val="00AF2495"/>
    <w:rsid w:val="00AF3F4F"/>
    <w:rsid w:val="00B06793"/>
    <w:rsid w:val="00B121AD"/>
    <w:rsid w:val="00B44670"/>
    <w:rsid w:val="00B4742B"/>
    <w:rsid w:val="00B63315"/>
    <w:rsid w:val="00B74F88"/>
    <w:rsid w:val="00B85D11"/>
    <w:rsid w:val="00B87E1E"/>
    <w:rsid w:val="00BA3999"/>
    <w:rsid w:val="00BD1872"/>
    <w:rsid w:val="00BD1C50"/>
    <w:rsid w:val="00BD6A9C"/>
    <w:rsid w:val="00BE60F5"/>
    <w:rsid w:val="00C00247"/>
    <w:rsid w:val="00C0487D"/>
    <w:rsid w:val="00C12BAB"/>
    <w:rsid w:val="00C17B09"/>
    <w:rsid w:val="00C26337"/>
    <w:rsid w:val="00C574B4"/>
    <w:rsid w:val="00C57597"/>
    <w:rsid w:val="00C60BEE"/>
    <w:rsid w:val="00C65F50"/>
    <w:rsid w:val="00C662A2"/>
    <w:rsid w:val="00C675D4"/>
    <w:rsid w:val="00C77E38"/>
    <w:rsid w:val="00C807EA"/>
    <w:rsid w:val="00C84E24"/>
    <w:rsid w:val="00C96F5F"/>
    <w:rsid w:val="00CB4544"/>
    <w:rsid w:val="00CB7A00"/>
    <w:rsid w:val="00CC3315"/>
    <w:rsid w:val="00CD3D32"/>
    <w:rsid w:val="00CE7A28"/>
    <w:rsid w:val="00CF2802"/>
    <w:rsid w:val="00D13DD8"/>
    <w:rsid w:val="00D17E56"/>
    <w:rsid w:val="00D22016"/>
    <w:rsid w:val="00D3511A"/>
    <w:rsid w:val="00D52706"/>
    <w:rsid w:val="00D54723"/>
    <w:rsid w:val="00D65CED"/>
    <w:rsid w:val="00D67F16"/>
    <w:rsid w:val="00D71F33"/>
    <w:rsid w:val="00D77717"/>
    <w:rsid w:val="00D8263C"/>
    <w:rsid w:val="00D9088B"/>
    <w:rsid w:val="00D970A4"/>
    <w:rsid w:val="00DA70C5"/>
    <w:rsid w:val="00DB359F"/>
    <w:rsid w:val="00DC5723"/>
    <w:rsid w:val="00DD3C5F"/>
    <w:rsid w:val="00DE27AA"/>
    <w:rsid w:val="00DF008B"/>
    <w:rsid w:val="00DF3FE7"/>
    <w:rsid w:val="00DF61DE"/>
    <w:rsid w:val="00E00202"/>
    <w:rsid w:val="00E03E9A"/>
    <w:rsid w:val="00E17670"/>
    <w:rsid w:val="00E203CA"/>
    <w:rsid w:val="00E27C69"/>
    <w:rsid w:val="00EA3A98"/>
    <w:rsid w:val="00EB3EA7"/>
    <w:rsid w:val="00EB48B8"/>
    <w:rsid w:val="00EC3BA8"/>
    <w:rsid w:val="00EC53E8"/>
    <w:rsid w:val="00EC59EF"/>
    <w:rsid w:val="00ED0C91"/>
    <w:rsid w:val="00EE5925"/>
    <w:rsid w:val="00EF3329"/>
    <w:rsid w:val="00F03F17"/>
    <w:rsid w:val="00F15892"/>
    <w:rsid w:val="00F176DA"/>
    <w:rsid w:val="00F23370"/>
    <w:rsid w:val="00F254C8"/>
    <w:rsid w:val="00F30908"/>
    <w:rsid w:val="00F46066"/>
    <w:rsid w:val="00F51222"/>
    <w:rsid w:val="00F5603D"/>
    <w:rsid w:val="00F57662"/>
    <w:rsid w:val="00F66017"/>
    <w:rsid w:val="00F717F7"/>
    <w:rsid w:val="00F84155"/>
    <w:rsid w:val="00F86AA4"/>
    <w:rsid w:val="00FA49AE"/>
    <w:rsid w:val="00FB0621"/>
    <w:rsid w:val="00FC2EE6"/>
    <w:rsid w:val="00FC6448"/>
    <w:rsid w:val="00FE141D"/>
    <w:rsid w:val="00FF5F69"/>
    <w:rsid w:val="05C54605"/>
    <w:rsid w:val="05F32390"/>
    <w:rsid w:val="0F504303"/>
    <w:rsid w:val="0FA8377E"/>
    <w:rsid w:val="11014573"/>
    <w:rsid w:val="118A0AED"/>
    <w:rsid w:val="164F3B34"/>
    <w:rsid w:val="1991341C"/>
    <w:rsid w:val="19A70F29"/>
    <w:rsid w:val="1A6E7F33"/>
    <w:rsid w:val="1BC25D17"/>
    <w:rsid w:val="20C35A26"/>
    <w:rsid w:val="24A0501C"/>
    <w:rsid w:val="268B123D"/>
    <w:rsid w:val="279D2C57"/>
    <w:rsid w:val="28F310CF"/>
    <w:rsid w:val="2B5233FD"/>
    <w:rsid w:val="2F507AD6"/>
    <w:rsid w:val="31EE444C"/>
    <w:rsid w:val="33C80DBC"/>
    <w:rsid w:val="340546DA"/>
    <w:rsid w:val="3682639F"/>
    <w:rsid w:val="38523880"/>
    <w:rsid w:val="38A93351"/>
    <w:rsid w:val="3D22018A"/>
    <w:rsid w:val="3FC2701E"/>
    <w:rsid w:val="409704EF"/>
    <w:rsid w:val="40D4055A"/>
    <w:rsid w:val="40F600EB"/>
    <w:rsid w:val="45194757"/>
    <w:rsid w:val="48D1453A"/>
    <w:rsid w:val="4AF46A8A"/>
    <w:rsid w:val="4D461A2E"/>
    <w:rsid w:val="52667ADB"/>
    <w:rsid w:val="53BC1691"/>
    <w:rsid w:val="55494846"/>
    <w:rsid w:val="58A449B2"/>
    <w:rsid w:val="5EA24C65"/>
    <w:rsid w:val="614543A6"/>
    <w:rsid w:val="61AB47C5"/>
    <w:rsid w:val="63362FAF"/>
    <w:rsid w:val="65666CE5"/>
    <w:rsid w:val="68916E41"/>
    <w:rsid w:val="6D735ABF"/>
    <w:rsid w:val="6EA21750"/>
    <w:rsid w:val="743651BE"/>
    <w:rsid w:val="74676195"/>
    <w:rsid w:val="74A43B3D"/>
    <w:rsid w:val="78A27579"/>
    <w:rsid w:val="7DD305FF"/>
    <w:rsid w:val="7E5F3F0C"/>
    <w:rsid w:val="7F1A7F9E"/>
    <w:rsid w:val="7FB457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9"/>
    <w:pPr>
      <w:keepNext/>
      <w:keepLines/>
      <w:numPr>
        <w:ilvl w:val="0"/>
        <w:numId w:val="1"/>
      </w:numPr>
      <w:adjustRightInd w:val="0"/>
      <w:spacing w:beforeLines="100" w:afterLines="100" w:line="360" w:lineRule="auto"/>
      <w:jc w:val="left"/>
      <w:textAlignment w:val="baseline"/>
      <w:outlineLvl w:val="0"/>
    </w:pPr>
    <w:rPr>
      <w:rFonts w:ascii="宋体"/>
      <w:b/>
      <w:kern w:val="44"/>
      <w:sz w:val="28"/>
    </w:rPr>
  </w:style>
  <w:style w:type="paragraph" w:styleId="4">
    <w:name w:val="heading 2"/>
    <w:basedOn w:val="1"/>
    <w:next w:val="1"/>
    <w:link w:val="26"/>
    <w:unhideWhenUsed/>
    <w:qFormat/>
    <w:uiPriority w:val="9"/>
    <w:pPr>
      <w:keepNext/>
      <w:keepLines/>
      <w:numPr>
        <w:ilvl w:val="1"/>
        <w:numId w:val="1"/>
      </w:numPr>
      <w:tabs>
        <w:tab w:val="left" w:pos="432"/>
      </w:tabs>
      <w:spacing w:before="240" w:after="240"/>
      <w:outlineLvl w:val="1"/>
    </w:pPr>
    <w:rPr>
      <w:rFonts w:ascii="Cambria" w:hAnsi="Cambria"/>
      <w:b/>
      <w:bCs/>
      <w:sz w:val="24"/>
      <w:szCs w:val="32"/>
    </w:rPr>
  </w:style>
  <w:style w:type="paragraph" w:styleId="5">
    <w:name w:val="heading 3"/>
    <w:basedOn w:val="1"/>
    <w:next w:val="1"/>
    <w:link w:val="27"/>
    <w:unhideWhenUsed/>
    <w:qFormat/>
    <w:uiPriority w:val="9"/>
    <w:pPr>
      <w:keepNext/>
      <w:keepLines/>
      <w:numPr>
        <w:ilvl w:val="2"/>
        <w:numId w:val="1"/>
      </w:numPr>
      <w:spacing w:before="260" w:after="260" w:line="416" w:lineRule="auto"/>
      <w:outlineLvl w:val="2"/>
    </w:pPr>
    <w:rPr>
      <w:bCs/>
      <w:szCs w:val="32"/>
    </w:rPr>
  </w:style>
  <w:style w:type="paragraph" w:styleId="6">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a 正文"/>
    <w:qFormat/>
    <w:uiPriority w:val="0"/>
    <w:pPr>
      <w:spacing w:line="520" w:lineRule="exact"/>
      <w:ind w:firstLine="562" w:firstLineChars="200"/>
      <w:jc w:val="both"/>
    </w:pPr>
    <w:rPr>
      <w:rFonts w:ascii="仿宋" w:hAnsi="仿宋" w:eastAsia="仿宋" w:cs="Times New Roman"/>
      <w:bCs/>
      <w:snapToGrid w:val="0"/>
      <w:color w:val="000000"/>
      <w:kern w:val="2"/>
      <w:sz w:val="28"/>
      <w:szCs w:val="28"/>
      <w:lang w:val="en-US" w:eastAsia="zh-CN" w:bidi="ar-SA"/>
    </w:rPr>
  </w:style>
  <w:style w:type="paragraph" w:styleId="7">
    <w:name w:val="Body Text"/>
    <w:basedOn w:val="1"/>
    <w:next w:val="8"/>
    <w:qFormat/>
    <w:uiPriority w:val="0"/>
    <w:pPr>
      <w:spacing w:after="120"/>
    </w:pPr>
    <w:rPr>
      <w:rFonts w:ascii="Times New Roman" w:hAnsi="Times New Roman" w:eastAsia="宋体" w:cs="Times New Roman"/>
    </w:rPr>
  </w:style>
  <w:style w:type="paragraph" w:styleId="8">
    <w:name w:val="Body Text 2"/>
    <w:basedOn w:val="1"/>
    <w:unhideWhenUsed/>
    <w:qFormat/>
    <w:uiPriority w:val="99"/>
    <w:rPr>
      <w:sz w:val="28"/>
    </w:rPr>
  </w:style>
  <w:style w:type="paragraph" w:styleId="9">
    <w:name w:val="Body Text Indent"/>
    <w:basedOn w:val="1"/>
    <w:link w:val="37"/>
    <w:semiHidden/>
    <w:unhideWhenUsed/>
    <w:qFormat/>
    <w:uiPriority w:val="99"/>
    <w:pPr>
      <w:spacing w:after="120"/>
      <w:ind w:left="420" w:leftChars="200"/>
    </w:pPr>
  </w:style>
  <w:style w:type="paragraph" w:styleId="10">
    <w:name w:val="toc 3"/>
    <w:basedOn w:val="1"/>
    <w:next w:val="1"/>
    <w:unhideWhenUsed/>
    <w:qFormat/>
    <w:uiPriority w:val="39"/>
    <w:pPr>
      <w:ind w:left="840" w:leftChars="400"/>
    </w:pPr>
  </w:style>
  <w:style w:type="paragraph" w:styleId="11">
    <w:name w:val="Plain Text"/>
    <w:basedOn w:val="1"/>
    <w:qFormat/>
    <w:uiPriority w:val="0"/>
    <w:rPr>
      <w:rFonts w:ascii="宋体" w:hAnsi="Courier New"/>
      <w:szCs w:val="20"/>
    </w:rPr>
  </w:style>
  <w:style w:type="paragraph" w:styleId="12">
    <w:name w:val="Body Text Indent 2"/>
    <w:basedOn w:val="1"/>
    <w:link w:val="36"/>
    <w:qFormat/>
    <w:uiPriority w:val="0"/>
    <w:pPr>
      <w:spacing w:line="440" w:lineRule="exact"/>
      <w:ind w:firstLine="630"/>
    </w:pPr>
    <w:rPr>
      <w:rFonts w:ascii="仿宋_GB2312" w:eastAsia="仿宋_GB2312"/>
      <w:sz w:val="28"/>
    </w:rPr>
  </w:style>
  <w:style w:type="paragraph" w:styleId="13">
    <w:name w:val="Balloon Text"/>
    <w:basedOn w:val="1"/>
    <w:link w:val="34"/>
    <w:unhideWhenUsed/>
    <w:qFormat/>
    <w:uiPriority w:val="99"/>
    <w:rPr>
      <w:sz w:val="18"/>
      <w:szCs w:val="18"/>
    </w:r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left" w:pos="567"/>
        <w:tab w:val="right" w:leader="dot" w:pos="8296"/>
      </w:tabs>
    </w:pPr>
  </w:style>
  <w:style w:type="paragraph" w:styleId="17">
    <w:name w:val="Subtitle"/>
    <w:basedOn w:val="1"/>
    <w:next w:val="1"/>
    <w:link w:val="35"/>
    <w:qFormat/>
    <w:uiPriority w:val="0"/>
    <w:pPr>
      <w:spacing w:before="120" w:line="360" w:lineRule="auto"/>
      <w:jc w:val="left"/>
      <w:outlineLvl w:val="1"/>
    </w:pPr>
    <w:rPr>
      <w:rFonts w:ascii="Cambria" w:hAnsi="Cambria"/>
      <w:b/>
      <w:bCs/>
      <w:kern w:val="28"/>
      <w:szCs w:val="32"/>
    </w:rPr>
  </w:style>
  <w:style w:type="paragraph" w:styleId="18">
    <w:name w:val="toc 2"/>
    <w:basedOn w:val="1"/>
    <w:next w:val="1"/>
    <w:unhideWhenUsed/>
    <w:qFormat/>
    <w:uiPriority w:val="39"/>
    <w:pPr>
      <w:ind w:left="420" w:left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customStyle="1" w:styleId="23">
    <w:name w:val="页眉 Char"/>
    <w:basedOn w:val="21"/>
    <w:link w:val="15"/>
    <w:qFormat/>
    <w:uiPriority w:val="99"/>
    <w:rPr>
      <w:sz w:val="18"/>
      <w:szCs w:val="18"/>
    </w:rPr>
  </w:style>
  <w:style w:type="character" w:customStyle="1" w:styleId="24">
    <w:name w:val="页脚 Char"/>
    <w:basedOn w:val="21"/>
    <w:link w:val="14"/>
    <w:qFormat/>
    <w:uiPriority w:val="99"/>
    <w:rPr>
      <w:sz w:val="18"/>
      <w:szCs w:val="18"/>
    </w:rPr>
  </w:style>
  <w:style w:type="character" w:customStyle="1" w:styleId="25">
    <w:name w:val="标题 1 Char"/>
    <w:basedOn w:val="21"/>
    <w:link w:val="3"/>
    <w:qFormat/>
    <w:uiPriority w:val="9"/>
    <w:rPr>
      <w:rFonts w:ascii="宋体" w:hAnsi="Times New Roman" w:eastAsia="宋体" w:cs="Times New Roman"/>
      <w:b/>
      <w:kern w:val="44"/>
      <w:sz w:val="28"/>
      <w:szCs w:val="20"/>
    </w:rPr>
  </w:style>
  <w:style w:type="character" w:customStyle="1" w:styleId="26">
    <w:name w:val="标题 2 Char"/>
    <w:basedOn w:val="21"/>
    <w:link w:val="4"/>
    <w:qFormat/>
    <w:uiPriority w:val="9"/>
    <w:rPr>
      <w:rFonts w:ascii="Cambria" w:hAnsi="Cambria" w:eastAsia="宋体" w:cs="Times New Roman"/>
      <w:b/>
      <w:bCs/>
      <w:kern w:val="2"/>
      <w:sz w:val="24"/>
      <w:szCs w:val="32"/>
    </w:rPr>
  </w:style>
  <w:style w:type="character" w:customStyle="1" w:styleId="27">
    <w:name w:val="标题 3 Char"/>
    <w:basedOn w:val="21"/>
    <w:link w:val="5"/>
    <w:qFormat/>
    <w:uiPriority w:val="9"/>
    <w:rPr>
      <w:rFonts w:ascii="Times New Roman" w:hAnsi="Times New Roman" w:eastAsia="宋体" w:cs="Times New Roman"/>
      <w:bCs/>
      <w:szCs w:val="32"/>
    </w:rPr>
  </w:style>
  <w:style w:type="paragraph" w:customStyle="1" w:styleId="28">
    <w:name w:val="列出段落1"/>
    <w:basedOn w:val="1"/>
    <w:qFormat/>
    <w:uiPriority w:val="34"/>
    <w:pPr>
      <w:widowControl/>
      <w:spacing w:line="360" w:lineRule="auto"/>
      <w:ind w:left="720"/>
      <w:contextualSpacing/>
      <w:jc w:val="left"/>
    </w:pPr>
    <w:rPr>
      <w:kern w:val="0"/>
      <w:sz w:val="24"/>
      <w:szCs w:val="22"/>
    </w:rPr>
  </w:style>
  <w:style w:type="paragraph" w:styleId="29">
    <w:name w:val="List Paragraph"/>
    <w:basedOn w:val="1"/>
    <w:qFormat/>
    <w:uiPriority w:val="34"/>
    <w:pPr>
      <w:ind w:firstLine="420" w:firstLineChars="200"/>
    </w:pPr>
  </w:style>
  <w:style w:type="paragraph" w:customStyle="1" w:styleId="30">
    <w:name w:val="缩进编号3"/>
    <w:qFormat/>
    <w:uiPriority w:val="99"/>
    <w:pPr>
      <w:numPr>
        <w:ilvl w:val="1"/>
        <w:numId w:val="2"/>
      </w:numPr>
      <w:tabs>
        <w:tab w:val="left" w:pos="2835"/>
      </w:tabs>
      <w:adjustRightInd w:val="0"/>
      <w:snapToGrid w:val="0"/>
      <w:spacing w:beforeLines="70" w:afterLines="70" w:line="360" w:lineRule="atLeast"/>
      <w:ind w:left="2835"/>
      <w:jc w:val="both"/>
    </w:pPr>
    <w:rPr>
      <w:rFonts w:ascii="宋体" w:hAnsi="宋体" w:eastAsia="宋体" w:cs="宋体"/>
      <w:spacing w:val="30"/>
      <w:sz w:val="24"/>
      <w:szCs w:val="24"/>
      <w:lang w:val="en-GB" w:eastAsia="zh-CN" w:bidi="ar-SA"/>
    </w:rPr>
  </w:style>
  <w:style w:type="paragraph" w:customStyle="1" w:styleId="31">
    <w:name w:val="编号3"/>
    <w:qFormat/>
    <w:uiPriority w:val="99"/>
    <w:pPr>
      <w:numPr>
        <w:ilvl w:val="0"/>
        <w:numId w:val="2"/>
      </w:numPr>
      <w:tabs>
        <w:tab w:val="left" w:pos="1814"/>
      </w:tabs>
      <w:adjustRightInd w:val="0"/>
      <w:snapToGrid w:val="0"/>
      <w:spacing w:beforeLines="70" w:afterLines="70" w:line="360" w:lineRule="atLeast"/>
      <w:ind w:left="1814" w:hanging="567"/>
      <w:jc w:val="both"/>
    </w:pPr>
    <w:rPr>
      <w:rFonts w:ascii="Times New Roman" w:hAnsi="Times New Roman" w:eastAsia="宋体" w:cs="Times New Roman"/>
      <w:spacing w:val="30"/>
      <w:sz w:val="24"/>
      <w:szCs w:val="24"/>
      <w:lang w:val="en-GB" w:eastAsia="zh-CN" w:bidi="ar-SA"/>
    </w:rPr>
  </w:style>
  <w:style w:type="paragraph" w:customStyle="1" w:styleId="32">
    <w:name w:val="编号a"/>
    <w:basedOn w:val="1"/>
    <w:qFormat/>
    <w:uiPriority w:val="99"/>
    <w:pPr>
      <w:widowControl/>
      <w:numPr>
        <w:ilvl w:val="2"/>
        <w:numId w:val="2"/>
      </w:numPr>
      <w:tabs>
        <w:tab w:val="left" w:pos="1247"/>
        <w:tab w:val="clear" w:pos="1260"/>
      </w:tabs>
      <w:overflowPunct w:val="0"/>
      <w:adjustRightInd w:val="0"/>
      <w:snapToGrid w:val="0"/>
      <w:spacing w:beforeLines="70" w:afterLines="70" w:line="360" w:lineRule="exact"/>
      <w:ind w:left="1247" w:firstLine="200" w:firstLineChars="200"/>
      <w:textAlignment w:val="baseline"/>
    </w:pPr>
    <w:rPr>
      <w:spacing w:val="30"/>
      <w:kern w:val="0"/>
      <w:sz w:val="24"/>
      <w:szCs w:val="24"/>
      <w:lang w:val="en-GB"/>
    </w:rPr>
  </w:style>
  <w:style w:type="character" w:customStyle="1" w:styleId="33">
    <w:name w:val="标题 4 Char"/>
    <w:basedOn w:val="21"/>
    <w:link w:val="6"/>
    <w:semiHidden/>
    <w:qFormat/>
    <w:uiPriority w:val="9"/>
    <w:rPr>
      <w:rFonts w:asciiTheme="majorHAnsi" w:hAnsiTheme="majorHAnsi" w:eastAsiaTheme="majorEastAsia" w:cstheme="majorBidi"/>
      <w:b/>
      <w:bCs/>
      <w:sz w:val="28"/>
      <w:szCs w:val="28"/>
    </w:rPr>
  </w:style>
  <w:style w:type="character" w:customStyle="1" w:styleId="34">
    <w:name w:val="批注框文本 Char"/>
    <w:basedOn w:val="21"/>
    <w:link w:val="13"/>
    <w:semiHidden/>
    <w:qFormat/>
    <w:uiPriority w:val="99"/>
    <w:rPr>
      <w:rFonts w:ascii="Times New Roman" w:hAnsi="Times New Roman" w:eastAsia="宋体" w:cs="Times New Roman"/>
      <w:sz w:val="18"/>
      <w:szCs w:val="18"/>
    </w:rPr>
  </w:style>
  <w:style w:type="character" w:customStyle="1" w:styleId="35">
    <w:name w:val="副标题 Char"/>
    <w:basedOn w:val="21"/>
    <w:link w:val="17"/>
    <w:qFormat/>
    <w:uiPriority w:val="0"/>
    <w:rPr>
      <w:rFonts w:ascii="Cambria" w:hAnsi="Cambria" w:eastAsia="宋体" w:cs="Times New Roman"/>
      <w:b/>
      <w:bCs/>
      <w:kern w:val="28"/>
      <w:szCs w:val="32"/>
    </w:rPr>
  </w:style>
  <w:style w:type="character" w:customStyle="1" w:styleId="36">
    <w:name w:val="正文文本缩进 2 Char"/>
    <w:basedOn w:val="21"/>
    <w:link w:val="12"/>
    <w:qFormat/>
    <w:uiPriority w:val="0"/>
    <w:rPr>
      <w:rFonts w:ascii="仿宋_GB2312" w:hAnsi="Times New Roman" w:eastAsia="仿宋_GB2312" w:cs="Times New Roman"/>
      <w:sz w:val="28"/>
      <w:szCs w:val="20"/>
    </w:rPr>
  </w:style>
  <w:style w:type="character" w:customStyle="1" w:styleId="37">
    <w:name w:val="正文文本缩进 Char"/>
    <w:basedOn w:val="21"/>
    <w:link w:val="9"/>
    <w:semiHidden/>
    <w:qFormat/>
    <w:uiPriority w:val="99"/>
    <w:rPr>
      <w:rFonts w:ascii="Times New Roman" w:hAnsi="Times New Roman" w:eastAsia="宋体" w:cs="Times New Roman"/>
      <w:kern w:val="2"/>
      <w:sz w:val="21"/>
    </w:rPr>
  </w:style>
  <w:style w:type="paragraph" w:customStyle="1" w:styleId="38">
    <w:name w:val="msolistparagraph"/>
    <w:basedOn w:val="1"/>
    <w:qFormat/>
    <w:uiPriority w:val="0"/>
    <w:pPr>
      <w:ind w:firstLine="420" w:firstLineChars="200"/>
    </w:pPr>
    <w:rPr>
      <w:rFonts w:ascii="Calibri" w:hAnsi="Calibri"/>
      <w:sz w:val="24"/>
      <w:szCs w:val="22"/>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63E08-AFFD-462D-8D68-84B8FBB8F7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7369</Words>
  <Characters>8505</Characters>
  <Lines>47</Lines>
  <Paragraphs>13</Paragraphs>
  <TotalTime>1</TotalTime>
  <ScaleCrop>false</ScaleCrop>
  <LinksUpToDate>false</LinksUpToDate>
  <CharactersWithSpaces>8843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2017-07-10T07:23:00Z</dcterms:created>
  <dc:creator>Windows 用户</dc:creator>
  <cp:lastModifiedBy>⭕万✨</cp:lastModifiedBy>
  <dcterms:modified xsi:type="dcterms:W3CDTF">2022-08-24T02:49:04Z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7E5808F8EEE64CB78E843E481329F6A1</vt:lpwstr>
  </property>
</Properties>
</file>