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iCs w:val="0"/>
          <w:caps w:val="0"/>
          <w:color w:val="0D0D2E"/>
          <w:spacing w:val="0"/>
          <w:sz w:val="30"/>
          <w:szCs w:val="30"/>
          <w:shd w:val="clear" w:fill="FFFFFF"/>
        </w:rPr>
      </w:pPr>
      <w:r>
        <w:rPr>
          <w:rFonts w:hint="eastAsia" w:ascii="微软雅黑" w:hAnsi="微软雅黑" w:eastAsia="微软雅黑" w:cs="微软雅黑"/>
          <w:i w:val="0"/>
          <w:iCs w:val="0"/>
          <w:caps w:val="0"/>
          <w:color w:val="0D0D2E"/>
          <w:spacing w:val="0"/>
          <w:sz w:val="30"/>
          <w:szCs w:val="30"/>
          <w:shd w:val="clear" w:fill="FFFFFF"/>
        </w:rPr>
        <w:t>酒钢集团动力厂碳钢冷轧废水站含酸废水再利用项目施工</w:t>
      </w:r>
    </w:p>
    <w:p>
      <w:pPr>
        <w:jc w:val="center"/>
        <w:rPr>
          <w:rFonts w:hint="eastAsia" w:ascii="微软雅黑" w:hAnsi="微软雅黑" w:eastAsia="微软雅黑" w:cs="微软雅黑"/>
          <w:i w:val="0"/>
          <w:iCs w:val="0"/>
          <w:caps w:val="0"/>
          <w:color w:val="0D0D2E"/>
          <w:spacing w:val="0"/>
          <w:sz w:val="30"/>
          <w:szCs w:val="30"/>
          <w:shd w:val="clear" w:fill="FFFFFF"/>
        </w:rPr>
      </w:pPr>
      <w:r>
        <w:rPr>
          <w:rFonts w:hint="eastAsia" w:ascii="微软雅黑" w:hAnsi="微软雅黑" w:eastAsia="微软雅黑" w:cs="微软雅黑"/>
          <w:i w:val="0"/>
          <w:iCs w:val="0"/>
          <w:caps w:val="0"/>
          <w:color w:val="0D0D2E"/>
          <w:spacing w:val="0"/>
          <w:sz w:val="30"/>
          <w:szCs w:val="30"/>
          <w:shd w:val="clear" w:fill="FFFFFF"/>
        </w:rPr>
        <w:t>采购预告</w:t>
      </w:r>
    </w:p>
    <w:p>
      <w:pPr>
        <w:jc w:val="left"/>
        <w:rPr>
          <w:rFonts w:hint="eastAsia" w:ascii="仿宋" w:hAnsi="仿宋" w:eastAsia="仿宋" w:cs="仿宋"/>
          <w:b/>
          <w:bCs/>
          <w:i w:val="0"/>
          <w:iCs w:val="0"/>
          <w:caps w:val="0"/>
          <w:color w:val="0D0D2E"/>
          <w:spacing w:val="0"/>
          <w:sz w:val="24"/>
          <w:szCs w:val="24"/>
          <w:shd w:val="clear" w:fill="FFFFFF"/>
          <w:lang w:val="en-US" w:eastAsia="zh-CN"/>
        </w:rPr>
      </w:pPr>
      <w:r>
        <w:rPr>
          <w:rFonts w:hint="eastAsia" w:ascii="仿宋" w:hAnsi="仿宋" w:eastAsia="仿宋" w:cs="仿宋"/>
          <w:b/>
          <w:bCs/>
          <w:i w:val="0"/>
          <w:iCs w:val="0"/>
          <w:caps w:val="0"/>
          <w:color w:val="0D0D2E"/>
          <w:spacing w:val="0"/>
          <w:sz w:val="24"/>
          <w:szCs w:val="24"/>
          <w:shd w:val="clear" w:fill="FFFFFF"/>
          <w:lang w:val="en-US" w:eastAsia="zh-CN"/>
        </w:rPr>
        <w:t>一、项目施工内容</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碳钢冷轧废水站主要处理来自用户生产过程中排放的含酸废水及含碱废水废水、含油废水等。含酸废水处理过程中需要投加碱性的石灰乳进行中和沉淀，含碱废水投加盐酸调整pH值。因含酸废水显酸性并主要为盐酸，含碱废水及含酸废水处理过程中再次投加盐酸和石灰乳时将造成资源浪费。另一方面，废水处理后虽达标排放，但投加的物料越多，排放水中污染物越多。所以，目前碳钢冷轧废水站废水处理过程中，未能根据含酸废水特性进行再利用，造成资源浪费和外排水中污染物增加。   </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碳钢冷轧废水站含酸废水系统采购及安装两台含酸废水循环泵及进、出口手动阀，出水管配套安装启动阀门，水泵运行信号及阀门信号上传至PLC，实现远程及就地操作；水泵出水管敷设至含碱一级、二级pH调节池、含铬一级、二级还原罐，各管道安装气动阀，阀门信号上传至PLC，实现远程及就地操作；气动阀与含铬系统及含碱系统pH检测仪表联锁，实现水泵及阀门的自动控制，联锁值可手动设置。</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采购并安装3套全自动泡药机（含搅拌机、计量泵带流量调节，集中操作箱），加药装置信号上传至PLC，加药装置可根据系统供水流量进行调节，实现药剂自动投加。新增加药点：含油气浮池、含碱气浮池、含酸中和池。配套补水管、加药管、阀门采购敷设。加药管每8m采用阀门连接。</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3.清理含酸一级中和池底部积泥后，拆除含酸一级中和池原有曝气系统，重新安装曝气管路，管道材质为PP热熔管，管径根据设计图纸确定，管箍及支架材质为耐腐蚀材质。</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4.采购两台搅拌机（耐酸碱双层桨叶），拆除原搅拌机，并将采购搅拌机安装至甲方指定区域，配套线路敷设。</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5.采购6台计量泵，并对现场计量泵进行更换。</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6.将原废水站斜板沉淀池排泥阀拆除，采购并安装三台DN50电动排泥阀，配套线路敷设，将电动阀上传至废水站PLC系统，实现就地及远程操作；新增自动排泥程序。</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采购液位计及pH计各两套，液位安装至含酸浓缩池及含碱浮渣槽，pH计分别安装至含酸澄清池及含铬澄清池，配套线路敷设并将信号上传至废水站PLC系统，并在工艺微机监控画面中相应位置显示，实现远程监控及报警。</w:t>
      </w:r>
    </w:p>
    <w:p>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将新增3套高分子泡药机及其他附属设施、液位计、pH计及电动阀、含酸循环泵等均需上传废水站PLC,并同步对工艺画面及程序进行完完善，新增联锁并可手动设定联锁值。核算PLC系统所需点位，配套增加辅材；涉及自控、PLC施工需满足检修工程部要求。</w:t>
      </w:r>
    </w:p>
    <w:p>
      <w:pPr>
        <w:jc w:val="left"/>
        <w:rPr>
          <w:rFonts w:hint="eastAsia" w:ascii="仿宋" w:hAnsi="仿宋" w:eastAsia="仿宋" w:cs="仿宋"/>
          <w:b/>
          <w:bCs/>
          <w:i w:val="0"/>
          <w:iCs w:val="0"/>
          <w:caps w:val="0"/>
          <w:color w:val="0D0D2E"/>
          <w:spacing w:val="0"/>
          <w:sz w:val="24"/>
          <w:szCs w:val="24"/>
          <w:shd w:val="clear" w:fill="FFFFFF"/>
          <w:lang w:val="en-US" w:eastAsia="zh-CN"/>
        </w:rPr>
      </w:pPr>
      <w:r>
        <w:rPr>
          <w:rFonts w:hint="eastAsia" w:ascii="仿宋" w:hAnsi="仿宋" w:eastAsia="仿宋" w:cs="仿宋"/>
          <w:b/>
          <w:bCs/>
          <w:i w:val="0"/>
          <w:iCs w:val="0"/>
          <w:caps w:val="0"/>
          <w:color w:val="0D0D2E"/>
          <w:spacing w:val="0"/>
          <w:sz w:val="24"/>
          <w:szCs w:val="24"/>
          <w:shd w:val="clear" w:fill="FFFFFF"/>
          <w:lang w:val="en-US" w:eastAsia="zh-CN"/>
        </w:rPr>
        <w:t>二、施工工期</w:t>
      </w:r>
      <w:bookmarkStart w:id="0" w:name="_GoBack"/>
      <w:bookmarkEnd w:id="0"/>
    </w:p>
    <w:p>
      <w:pPr>
        <w:pStyle w:val="2"/>
        <w:jc w:val="left"/>
        <w:rPr>
          <w:rFonts w:hint="default" w:ascii="仿宋" w:hAnsi="仿宋" w:eastAsia="仿宋" w:cs="仿宋"/>
          <w:b w:val="0"/>
          <w:bCs w:val="0"/>
          <w:i w:val="0"/>
          <w:iCs w:val="0"/>
          <w:caps w:val="0"/>
          <w:color w:val="0D0D2E"/>
          <w:spacing w:val="0"/>
          <w:sz w:val="24"/>
          <w:szCs w:val="24"/>
          <w:shd w:val="clear" w:fill="FFFFFF"/>
          <w:lang w:val="en-US" w:eastAsia="zh-CN"/>
        </w:rPr>
      </w:pPr>
      <w:r>
        <w:rPr>
          <w:rFonts w:hint="eastAsia" w:ascii="仿宋" w:hAnsi="仿宋" w:eastAsia="仿宋" w:cs="仿宋"/>
          <w:b w:val="0"/>
          <w:bCs w:val="0"/>
          <w:i w:val="0"/>
          <w:iCs w:val="0"/>
          <w:caps w:val="0"/>
          <w:color w:val="0D0D2E"/>
          <w:spacing w:val="0"/>
          <w:sz w:val="24"/>
          <w:szCs w:val="24"/>
          <w:shd w:val="clear" w:fill="FFFFFF"/>
          <w:lang w:val="en-US" w:eastAsia="zh-CN"/>
        </w:rPr>
        <w:t>项目开工时间：2021年10月15日</w:t>
      </w:r>
    </w:p>
    <w:p>
      <w:pPr>
        <w:pStyle w:val="2"/>
        <w:jc w:val="left"/>
        <w:rPr>
          <w:rFonts w:hint="default" w:ascii="仿宋" w:hAnsi="仿宋" w:eastAsia="仿宋" w:cs="仿宋"/>
          <w:b w:val="0"/>
          <w:bCs w:val="0"/>
          <w:i w:val="0"/>
          <w:iCs w:val="0"/>
          <w:caps w:val="0"/>
          <w:color w:val="0D0D2E"/>
          <w:spacing w:val="0"/>
          <w:sz w:val="24"/>
          <w:szCs w:val="24"/>
          <w:shd w:val="clear" w:fill="FFFFFF"/>
          <w:lang w:val="en-US" w:eastAsia="zh-CN"/>
        </w:rPr>
      </w:pPr>
      <w:r>
        <w:rPr>
          <w:rFonts w:hint="eastAsia" w:ascii="仿宋" w:hAnsi="仿宋" w:eastAsia="仿宋" w:cs="仿宋"/>
          <w:b w:val="0"/>
          <w:bCs w:val="0"/>
          <w:i w:val="0"/>
          <w:iCs w:val="0"/>
          <w:caps w:val="0"/>
          <w:color w:val="0D0D2E"/>
          <w:spacing w:val="0"/>
          <w:sz w:val="24"/>
          <w:szCs w:val="24"/>
          <w:shd w:val="clear" w:fill="FFFFFF"/>
          <w:lang w:val="en-US" w:eastAsia="zh-CN"/>
        </w:rPr>
        <w:t>项目交工时间：2021年12月10日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5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 正文"/>
    <w:basedOn w:val="1"/>
    <w:qFormat/>
    <w:uiPriority w:val="0"/>
    <w:pPr>
      <w:spacing w:line="460" w:lineRule="exact"/>
      <w:ind w:firstLine="0" w:firstLineChars="0"/>
      <w:jc w:val="center"/>
    </w:pPr>
    <w:rPr>
      <w:b/>
      <w:kern w:val="0"/>
      <w:sz w:val="24"/>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2021-09-17T04:07:11Z</dcterms:created>
  <dc:creator>郝建平</dc:creator>
  <cp:lastModifiedBy>愁人的清风</cp:lastModifiedBy>
  <dcterms:modified xsi:type="dcterms:W3CDTF">2021-09-17T04:09:56Z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C695E7E376864149BAC4FA8DEDF674DC</vt:lpwstr>
  </property>
</Properties>
</file>