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r>
        <w:rPr>
          <w:rFonts w:hint="eastAsia" w:ascii="宋体" w:hAnsi="宋体" w:cs="宋体"/>
          <w:b/>
          <w:sz w:val="44"/>
          <w:szCs w:val="44"/>
        </w:rPr>
        <w:t>西沟矿业公司2026年加油站储油罐</w:t>
      </w:r>
    </w:p>
    <w:p>
      <w:pPr>
        <w:jc w:val="center"/>
        <w:rPr>
          <w:rFonts w:hint="default" w:eastAsia="宋体"/>
          <w:b/>
          <w:sz w:val="44"/>
          <w:szCs w:val="44"/>
          <w:lang w:val="en-US" w:eastAsia="zh-CN"/>
        </w:rPr>
      </w:pPr>
      <w:r>
        <w:rPr>
          <w:rFonts w:hint="eastAsia" w:ascii="宋体" w:hAnsi="宋体" w:cs="宋体"/>
          <w:b/>
          <w:sz w:val="44"/>
          <w:szCs w:val="44"/>
        </w:rPr>
        <w:t>检测服务项目</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技</w:t>
      </w:r>
    </w:p>
    <w:p>
      <w:pPr>
        <w:jc w:val="center"/>
        <w:rPr>
          <w:rFonts w:hint="eastAsia"/>
          <w:b/>
          <w:sz w:val="44"/>
          <w:szCs w:val="44"/>
        </w:rPr>
      </w:pPr>
    </w:p>
    <w:p>
      <w:pPr>
        <w:jc w:val="center"/>
        <w:rPr>
          <w:rFonts w:hint="eastAsia"/>
          <w:b/>
          <w:sz w:val="44"/>
          <w:szCs w:val="44"/>
        </w:rPr>
      </w:pPr>
      <w:r>
        <w:rPr>
          <w:rFonts w:hint="eastAsia"/>
          <w:b/>
          <w:sz w:val="44"/>
          <w:szCs w:val="44"/>
        </w:rPr>
        <w:t>术</w:t>
      </w:r>
    </w:p>
    <w:p>
      <w:pPr>
        <w:jc w:val="center"/>
        <w:rPr>
          <w:rFonts w:hint="eastAsia"/>
          <w:b/>
          <w:sz w:val="44"/>
          <w:szCs w:val="44"/>
        </w:rPr>
      </w:pPr>
    </w:p>
    <w:p>
      <w:pPr>
        <w:jc w:val="center"/>
        <w:rPr>
          <w:rFonts w:hint="eastAsia"/>
          <w:b/>
          <w:sz w:val="44"/>
          <w:szCs w:val="44"/>
        </w:rPr>
      </w:pPr>
      <w:r>
        <w:rPr>
          <w:rFonts w:hint="eastAsia"/>
          <w:b/>
          <w:sz w:val="44"/>
          <w:szCs w:val="44"/>
        </w:rPr>
        <w:t>协</w:t>
      </w:r>
    </w:p>
    <w:p>
      <w:pPr>
        <w:jc w:val="center"/>
        <w:rPr>
          <w:rFonts w:hint="eastAsia"/>
          <w:b/>
          <w:sz w:val="44"/>
          <w:szCs w:val="44"/>
        </w:rPr>
      </w:pPr>
    </w:p>
    <w:p>
      <w:pPr>
        <w:jc w:val="center"/>
        <w:rPr>
          <w:rFonts w:hint="eastAsia" w:ascii="宋体" w:hAnsi="宋体"/>
          <w:b/>
          <w:sz w:val="44"/>
          <w:szCs w:val="44"/>
        </w:rPr>
      </w:pPr>
      <w:r>
        <w:rPr>
          <w:rFonts w:hint="eastAsia"/>
          <w:b/>
          <w:sz w:val="44"/>
          <w:szCs w:val="44"/>
        </w:rPr>
        <w:t>议</w:t>
      </w:r>
    </w:p>
    <w:p>
      <w:pPr>
        <w:jc w:val="center"/>
        <w:rPr>
          <w:rFonts w:hint="eastAsia"/>
          <w:b/>
          <w:sz w:val="44"/>
          <w:szCs w:val="44"/>
        </w:rPr>
      </w:pPr>
    </w:p>
    <w:p>
      <w:pPr>
        <w:jc w:val="center"/>
        <w:rPr>
          <w:rFonts w:hint="eastAsia"/>
          <w:b/>
          <w:sz w:val="36"/>
          <w:szCs w:val="36"/>
        </w:rPr>
      </w:pPr>
    </w:p>
    <w:p>
      <w:pPr>
        <w:spacing w:line="480" w:lineRule="auto"/>
        <w:rPr>
          <w:rFonts w:hint="eastAsia"/>
          <w:b/>
          <w:sz w:val="30"/>
          <w:szCs w:val="30"/>
        </w:rPr>
      </w:pPr>
    </w:p>
    <w:p>
      <w:pPr>
        <w:spacing w:line="480" w:lineRule="auto"/>
        <w:rPr>
          <w:rFonts w:hint="eastAsia"/>
          <w:b/>
          <w:sz w:val="30"/>
          <w:szCs w:val="30"/>
        </w:rPr>
      </w:pPr>
    </w:p>
    <w:p>
      <w:pPr>
        <w:spacing w:line="480" w:lineRule="auto"/>
        <w:rPr>
          <w:rFonts w:hint="eastAsia"/>
          <w:b/>
          <w:sz w:val="30"/>
          <w:szCs w:val="30"/>
        </w:rPr>
      </w:pPr>
    </w:p>
    <w:p>
      <w:pPr>
        <w:spacing w:line="480" w:lineRule="auto"/>
        <w:rPr>
          <w:rFonts w:hint="eastAsia" w:ascii="宋体" w:hAnsi="宋体" w:eastAsia="宋体" w:cs="宋体"/>
          <w:b/>
          <w:sz w:val="30"/>
          <w:szCs w:val="30"/>
        </w:rPr>
      </w:pPr>
      <w:r>
        <w:rPr>
          <w:rFonts w:hint="eastAsia" w:ascii="宋体" w:hAnsi="宋体" w:eastAsia="宋体" w:cs="宋体"/>
          <w:b/>
          <w:sz w:val="30"/>
          <w:szCs w:val="30"/>
        </w:rPr>
        <w:t>甲   方: 甘肃西沟矿业有限公司</w:t>
      </w:r>
    </w:p>
    <w:p>
      <w:pPr>
        <w:spacing w:line="480" w:lineRule="auto"/>
        <w:rPr>
          <w:rFonts w:hint="eastAsia" w:ascii="宋体" w:hAnsi="宋体" w:eastAsia="宋体" w:cs="宋体"/>
          <w:b/>
          <w:sz w:val="30"/>
          <w:szCs w:val="30"/>
        </w:rPr>
      </w:pPr>
      <w:r>
        <w:rPr>
          <w:rFonts w:hint="eastAsia" w:ascii="宋体" w:hAnsi="宋体" w:eastAsia="宋体" w:cs="宋体"/>
          <w:b/>
          <w:sz w:val="30"/>
          <w:szCs w:val="30"/>
        </w:rPr>
        <w:t xml:space="preserve">乙   方: </w:t>
      </w:r>
    </w:p>
    <w:p>
      <w:pPr>
        <w:jc w:val="left"/>
        <w:rPr>
          <w:rFonts w:hint="eastAsia" w:ascii="宋体" w:hAnsi="宋体" w:eastAsia="宋体" w:cs="宋体"/>
          <w:b/>
          <w:sz w:val="30"/>
          <w:szCs w:val="30"/>
        </w:rPr>
      </w:pPr>
      <w:r>
        <w:rPr>
          <w:rFonts w:hint="eastAsia" w:ascii="宋体" w:hAnsi="宋体" w:eastAsia="宋体" w:cs="宋体"/>
          <w:b/>
          <w:sz w:val="30"/>
          <w:szCs w:val="30"/>
        </w:rPr>
        <w:t>时   间：20</w:t>
      </w:r>
      <w:r>
        <w:rPr>
          <w:rFonts w:hint="eastAsia" w:ascii="宋体" w:hAnsi="宋体" w:eastAsia="宋体" w:cs="宋体"/>
          <w:b/>
          <w:sz w:val="30"/>
          <w:szCs w:val="30"/>
          <w:lang w:val="en-US" w:eastAsia="zh-CN"/>
        </w:rPr>
        <w:t>26</w:t>
      </w:r>
      <w:r>
        <w:rPr>
          <w:rFonts w:hint="eastAsia" w:ascii="宋体" w:hAnsi="宋体" w:eastAsia="宋体" w:cs="宋体"/>
          <w:b/>
          <w:sz w:val="30"/>
          <w:szCs w:val="30"/>
        </w:rPr>
        <w:t>年</w:t>
      </w:r>
      <w:r>
        <w:rPr>
          <w:rFonts w:hint="eastAsia" w:ascii="宋体" w:hAnsi="宋体" w:eastAsia="宋体" w:cs="宋体"/>
          <w:b/>
          <w:sz w:val="30"/>
          <w:szCs w:val="30"/>
          <w:lang w:val="en-US" w:eastAsia="zh-CN"/>
        </w:rPr>
        <w:t>3</w:t>
      </w:r>
      <w:r>
        <w:rPr>
          <w:rFonts w:hint="eastAsia" w:ascii="宋体" w:hAnsi="宋体" w:eastAsia="宋体" w:cs="宋体"/>
          <w:b/>
          <w:sz w:val="30"/>
          <w:szCs w:val="30"/>
        </w:rPr>
        <w:t>月</w:t>
      </w:r>
    </w:p>
    <w:p>
      <w:pPr>
        <w:jc w:val="left"/>
        <w:rPr>
          <w:rFonts w:hint="eastAsia" w:ascii="宋体" w:hAnsi="宋体" w:eastAsia="宋体" w:cs="宋体"/>
          <w:b/>
          <w:sz w:val="30"/>
          <w:szCs w:val="30"/>
        </w:rPr>
      </w:pPr>
    </w:p>
    <w:p>
      <w:pPr>
        <w:jc w:val="left"/>
        <w:rPr>
          <w:rFonts w:hint="eastAsia" w:ascii="宋体" w:hAnsi="宋体" w:eastAsia="宋体" w:cs="宋体"/>
          <w:b/>
          <w:sz w:val="30"/>
          <w:szCs w:val="30"/>
        </w:rPr>
      </w:pP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default"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一、协议双方</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甲方：甘肃西沟矿业有限公司</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乙方：</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为使西沟矿业公司加油站储油罐检测工作符合国家安全生产行业标准要求，明确双方权利与义务，本着“质量、效益、合作、自愿”的原则，甲乙双方经协商一致，达成以下技术协议。</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二、服务信息和内容：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2.1服务信息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依据国家安全生产行业标准要求对储油罐开展检验工作，并出具合法有效的检测检验报告。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依据《加油（气）站油（气）储存罐体阻隔防爆技术要求》（AQ/T 3001-2021）中6.2“定期检验：有下列情况之一时应随机抽取满足检验项目需求的数量作为一个检验批进行定期检验:a)正常使用中，每年进行一次检验；b)储罐使用单位提出需要检验时；c)采用阻隔防爆技术的储罐达到检验周期时”之规定，对西沟矿矿区加油站3个储油罐、采矿作业区采场撬装加油机2个罐体、成品输出作业区工业场地撬装加油机1个罐体，开展一次全面检测工作，并出具对应检测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default"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2.2服务内容：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baseline"/>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2.2.1油罐确认：</w:t>
      </w:r>
    </w:p>
    <w:tbl>
      <w:tblPr>
        <w:tblStyle w:val="4"/>
        <w:tblW w:w="4998" w:type="pct"/>
        <w:tblInd w:w="0" w:type="dxa"/>
        <w:tblLayout w:type="autofit"/>
        <w:tblCellMar>
          <w:top w:w="0" w:type="dxa"/>
          <w:left w:w="108" w:type="dxa"/>
          <w:bottom w:w="0" w:type="dxa"/>
          <w:right w:w="108" w:type="dxa"/>
        </w:tblCellMar>
      </w:tblPr>
      <w:tblGrid>
        <w:gridCol w:w="1217"/>
        <w:gridCol w:w="1675"/>
        <w:gridCol w:w="1514"/>
        <w:gridCol w:w="1486"/>
        <w:gridCol w:w="1462"/>
        <w:gridCol w:w="1165"/>
      </w:tblGrid>
      <w:tr>
        <w:tblPrEx>
          <w:tblCellMar>
            <w:top w:w="0" w:type="dxa"/>
            <w:left w:w="108" w:type="dxa"/>
            <w:bottom w:w="0" w:type="dxa"/>
            <w:right w:w="108" w:type="dxa"/>
          </w:tblCellMar>
        </w:tblPrEx>
        <w:trPr>
          <w:trHeight w:val="84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bidi="ar"/>
              </w:rPr>
              <w:t>地点</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级别</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介质</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油罐容积m³</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油罐直径mm</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bidi="ar"/>
              </w:rPr>
              <w:t>备注</w:t>
            </w: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汽油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bidi="ar"/>
              </w:rPr>
              <w:t>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bidi="ar"/>
              </w:rPr>
              <w:t>18</w:t>
            </w:r>
            <w:r>
              <w:rPr>
                <w:rFonts w:hint="eastAsia" w:ascii="宋体" w:hAnsi="宋体" w:eastAsia="宋体" w:cs="宋体"/>
                <w:color w:val="000000"/>
                <w:sz w:val="20"/>
                <w:szCs w:val="20"/>
                <w:highlight w:val="none"/>
                <w:lang w:bidi="ar"/>
              </w:rPr>
              <w:t>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eastAsia="zh-CN"/>
              </w:rPr>
              <w:t>矿区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2200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采矿</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2800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采矿</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2800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544"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成品</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eastAsia="zh-CN"/>
              </w:rPr>
              <w:t>三</w:t>
            </w:r>
            <w:r>
              <w:rPr>
                <w:rFonts w:hint="eastAsia" w:ascii="宋体" w:hAnsi="宋体" w:eastAsia="宋体" w:cs="宋体"/>
                <w:color w:val="000000"/>
                <w:sz w:val="20"/>
                <w:szCs w:val="20"/>
                <w:highlight w:val="none"/>
              </w:rPr>
              <w:t>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柴油</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bidi="ar"/>
              </w:rPr>
              <w:t>18</w:t>
            </w:r>
            <w:r>
              <w:rPr>
                <w:rFonts w:hint="eastAsia" w:ascii="宋体" w:hAnsi="宋体" w:eastAsia="宋体" w:cs="宋体"/>
                <w:color w:val="000000"/>
                <w:sz w:val="20"/>
                <w:szCs w:val="20"/>
                <w:highlight w:val="none"/>
                <w:lang w:bidi="ar"/>
              </w:rPr>
              <w:t>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02" w:firstLineChars="200"/>
        <w:textAlignment w:val="baseline"/>
        <w:rPr>
          <w:rFonts w:hint="eastAsia" w:eastAsia="宋体" w:asciiTheme="minorEastAsia" w:hAnsiTheme="minorEastAsia"/>
          <w:sz w:val="20"/>
          <w:szCs w:val="20"/>
          <w:highlight w:val="none"/>
          <w:lang w:eastAsia="zh-CN"/>
        </w:rPr>
      </w:pPr>
      <w:r>
        <w:rPr>
          <w:rFonts w:hint="eastAsia" w:asciiTheme="minorEastAsia" w:hAnsiTheme="minorEastAsia"/>
          <w:b/>
          <w:bCs/>
          <w:sz w:val="20"/>
          <w:szCs w:val="20"/>
          <w:highlight w:val="none"/>
        </w:rPr>
        <w:t>注：</w:t>
      </w:r>
      <w:r>
        <w:rPr>
          <w:rFonts w:hint="eastAsia" w:asciiTheme="minorEastAsia" w:hAnsiTheme="minorEastAsia"/>
          <w:sz w:val="20"/>
          <w:szCs w:val="20"/>
          <w:highlight w:val="none"/>
        </w:rPr>
        <w:t>一级：总容积（V）1</w:t>
      </w:r>
      <w:r>
        <w:rPr>
          <w:rFonts w:asciiTheme="minorEastAsia" w:hAnsiTheme="minorEastAsia"/>
          <w:sz w:val="20"/>
          <w:szCs w:val="20"/>
          <w:highlight w:val="none"/>
        </w:rPr>
        <w:t>50</w:t>
      </w:r>
      <w:bookmarkStart w:id="0" w:name="_Hlk100591825"/>
      <w:r>
        <w:rPr>
          <w:rFonts w:hint="eastAsia" w:asciiTheme="minorEastAsia" w:hAnsiTheme="minorEastAsia"/>
          <w:sz w:val="20"/>
          <w:szCs w:val="20"/>
          <w:highlight w:val="none"/>
        </w:rPr>
        <w:t>&lt;</w:t>
      </w:r>
      <w:bookmarkEnd w:id="0"/>
      <w:r>
        <w:rPr>
          <w:rFonts w:hint="eastAsia" w:asciiTheme="minorEastAsia" w:hAnsiTheme="minorEastAsia"/>
          <w:sz w:val="20"/>
          <w:szCs w:val="20"/>
          <w:highlight w:val="none"/>
        </w:rPr>
        <w:t>V&lt;2</w:t>
      </w:r>
      <w:r>
        <w:rPr>
          <w:rFonts w:asciiTheme="minorEastAsia" w:hAnsiTheme="minorEastAsia"/>
          <w:sz w:val="20"/>
          <w:szCs w:val="20"/>
          <w:highlight w:val="none"/>
        </w:rPr>
        <w:t>10,</w:t>
      </w:r>
      <w:r>
        <w:rPr>
          <w:rFonts w:hint="eastAsia" w:asciiTheme="minorEastAsia" w:hAnsiTheme="minorEastAsia"/>
          <w:sz w:val="20"/>
          <w:szCs w:val="20"/>
          <w:highlight w:val="none"/>
        </w:rPr>
        <w:t>单罐容积:≤5</w:t>
      </w:r>
      <w:r>
        <w:rPr>
          <w:rFonts w:asciiTheme="minorEastAsia" w:hAnsiTheme="minorEastAsia"/>
          <w:sz w:val="20"/>
          <w:szCs w:val="20"/>
          <w:highlight w:val="none"/>
        </w:rPr>
        <w:t>0V</w:t>
      </w:r>
      <w:r>
        <w:rPr>
          <w:rFonts w:hint="eastAsia" w:asciiTheme="minorEastAsia" w:hAnsiTheme="minorEastAsia"/>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400"/>
        <w:textAlignment w:val="baseline"/>
        <w:rPr>
          <w:rFonts w:hint="eastAsia" w:eastAsia="宋体" w:asciiTheme="minorEastAsia" w:hAnsiTheme="minorEastAsia"/>
          <w:sz w:val="20"/>
          <w:szCs w:val="20"/>
          <w:highlight w:val="none"/>
          <w:lang w:eastAsia="zh-CN"/>
        </w:rPr>
      </w:pPr>
      <w:r>
        <w:rPr>
          <w:rFonts w:hint="eastAsia" w:asciiTheme="minorEastAsia" w:hAnsiTheme="minorEastAsia"/>
          <w:sz w:val="20"/>
          <w:szCs w:val="20"/>
          <w:highlight w:val="none"/>
        </w:rPr>
        <w:t>二级：总容积（V）9</w:t>
      </w:r>
      <w:r>
        <w:rPr>
          <w:rFonts w:asciiTheme="minorEastAsia" w:hAnsiTheme="minorEastAsia"/>
          <w:sz w:val="20"/>
          <w:szCs w:val="20"/>
          <w:highlight w:val="none"/>
        </w:rPr>
        <w:t>0</w:t>
      </w:r>
      <w:r>
        <w:rPr>
          <w:rFonts w:hint="eastAsia" w:asciiTheme="minorEastAsia" w:hAnsiTheme="minorEastAsia"/>
          <w:sz w:val="20"/>
          <w:szCs w:val="20"/>
          <w:highlight w:val="none"/>
        </w:rPr>
        <w:t>&lt;</w:t>
      </w:r>
      <w:r>
        <w:rPr>
          <w:rFonts w:asciiTheme="minorEastAsia" w:hAnsiTheme="minorEastAsia"/>
          <w:sz w:val="20"/>
          <w:szCs w:val="20"/>
          <w:highlight w:val="none"/>
        </w:rPr>
        <w:t>V</w:t>
      </w:r>
      <w:r>
        <w:rPr>
          <w:rFonts w:hint="eastAsia" w:asciiTheme="minorEastAsia" w:hAnsiTheme="minorEastAsia"/>
          <w:sz w:val="20"/>
          <w:szCs w:val="20"/>
          <w:highlight w:val="none"/>
        </w:rPr>
        <w:t>&lt;</w:t>
      </w:r>
      <w:r>
        <w:rPr>
          <w:rFonts w:asciiTheme="minorEastAsia" w:hAnsiTheme="minorEastAsia"/>
          <w:sz w:val="20"/>
          <w:szCs w:val="20"/>
          <w:highlight w:val="none"/>
        </w:rPr>
        <w:t>150</w:t>
      </w:r>
      <w:r>
        <w:rPr>
          <w:rFonts w:hint="eastAsia" w:asciiTheme="minorEastAsia" w:hAnsiTheme="minorEastAsia"/>
          <w:sz w:val="20"/>
          <w:szCs w:val="20"/>
          <w:highlight w:val="none"/>
        </w:rPr>
        <w:t>，单罐容积</w:t>
      </w:r>
      <w:bookmarkStart w:id="1" w:name="_Hlk100591961"/>
      <w:r>
        <w:rPr>
          <w:rFonts w:hint="eastAsia" w:asciiTheme="minorEastAsia" w:hAnsiTheme="minorEastAsia"/>
          <w:sz w:val="20"/>
          <w:szCs w:val="20"/>
          <w:highlight w:val="none"/>
        </w:rPr>
        <w:t>:≤</w:t>
      </w:r>
      <w:bookmarkEnd w:id="1"/>
      <w:r>
        <w:rPr>
          <w:rFonts w:hint="eastAsia" w:asciiTheme="minorEastAsia" w:hAnsiTheme="minorEastAsia"/>
          <w:sz w:val="20"/>
          <w:szCs w:val="20"/>
          <w:highlight w:val="none"/>
        </w:rPr>
        <w:t>5</w:t>
      </w:r>
      <w:r>
        <w:rPr>
          <w:rFonts w:asciiTheme="minorEastAsia" w:hAnsiTheme="minorEastAsia"/>
          <w:sz w:val="20"/>
          <w:szCs w:val="20"/>
          <w:highlight w:val="none"/>
        </w:rPr>
        <w:t>0V</w:t>
      </w:r>
      <w:r>
        <w:rPr>
          <w:rFonts w:hint="eastAsia" w:asciiTheme="minorEastAsia" w:hAnsiTheme="minorEastAsia"/>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400"/>
        <w:textAlignment w:val="baseline"/>
        <w:rPr>
          <w:rFonts w:hint="eastAsia" w:eastAsia="宋体" w:asciiTheme="minorEastAsia" w:hAnsiTheme="minorEastAsia"/>
          <w:sz w:val="20"/>
          <w:szCs w:val="20"/>
          <w:highlight w:val="none"/>
          <w:lang w:eastAsia="zh-CN"/>
        </w:rPr>
      </w:pPr>
      <w:r>
        <w:rPr>
          <w:rFonts w:hint="eastAsia" w:asciiTheme="minorEastAsia" w:hAnsiTheme="minorEastAsia"/>
          <w:sz w:val="20"/>
          <w:szCs w:val="20"/>
          <w:highlight w:val="none"/>
        </w:rPr>
        <w:t>三级：总容积（V）V≤9</w:t>
      </w:r>
      <w:r>
        <w:rPr>
          <w:rFonts w:asciiTheme="minorEastAsia" w:hAnsiTheme="minorEastAsia"/>
          <w:sz w:val="20"/>
          <w:szCs w:val="20"/>
          <w:highlight w:val="none"/>
        </w:rPr>
        <w:t>0</w:t>
      </w:r>
      <w:r>
        <w:rPr>
          <w:rFonts w:hint="eastAsia" w:asciiTheme="minorEastAsia" w:hAnsiTheme="minorEastAsia"/>
          <w:sz w:val="20"/>
          <w:szCs w:val="20"/>
          <w:highlight w:val="none"/>
        </w:rPr>
        <w:t>，单罐容积</w:t>
      </w:r>
      <w:r>
        <w:rPr>
          <w:rFonts w:asciiTheme="minorEastAsia" w:hAnsiTheme="minorEastAsia"/>
          <w:sz w:val="20"/>
          <w:szCs w:val="20"/>
          <w:highlight w:val="none"/>
        </w:rPr>
        <w:t>:</w:t>
      </w:r>
      <w:r>
        <w:rPr>
          <w:rFonts w:hint="eastAsia" w:asciiTheme="minorEastAsia" w:hAnsiTheme="minorEastAsia"/>
          <w:sz w:val="20"/>
          <w:szCs w:val="20"/>
          <w:highlight w:val="none"/>
        </w:rPr>
        <w:t>汽油罐≤3</w:t>
      </w:r>
      <w:r>
        <w:rPr>
          <w:rFonts w:asciiTheme="minorEastAsia" w:hAnsiTheme="minorEastAsia"/>
          <w:sz w:val="20"/>
          <w:szCs w:val="20"/>
          <w:highlight w:val="none"/>
        </w:rPr>
        <w:t>0</w:t>
      </w:r>
      <w:r>
        <w:rPr>
          <w:rFonts w:hint="eastAsia" w:asciiTheme="minorEastAsia" w:hAnsiTheme="minorEastAsia"/>
          <w:sz w:val="20"/>
          <w:szCs w:val="20"/>
          <w:highlight w:val="none"/>
        </w:rPr>
        <w:t>，柴油罐≤5</w:t>
      </w:r>
      <w:r>
        <w:rPr>
          <w:rFonts w:asciiTheme="minorEastAsia" w:hAnsiTheme="minorEastAsia"/>
          <w:sz w:val="20"/>
          <w:szCs w:val="20"/>
          <w:highlight w:val="none"/>
        </w:rPr>
        <w:t>0</w:t>
      </w:r>
      <w:r>
        <w:rPr>
          <w:rFonts w:hint="eastAsia" w:asciiTheme="minorEastAsia" w:hAnsiTheme="minorEastAsia"/>
          <w:sz w:val="20"/>
          <w:szCs w:val="20"/>
          <w:highlight w:val="none"/>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2.2.2油罐交接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对具备检测条件的油罐，由甲乙双方现场共同核查、确认状态后办理书面交接手续。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2.2.3作业环境勘查</w:t>
      </w:r>
      <w:bookmarkStart w:id="54" w:name="_GoBack"/>
      <w:bookmarkEnd w:id="54"/>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乙方对罐体检测作业前进行全面勘查，确保满足作业区条件，检测过程中，必须严格遵守加油站区各项安全管理要求。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2.2.4配合作业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zh-CN" w:eastAsia="zh-CN" w:bidi="ar-SA"/>
        </w:rPr>
        <w:t>此项目与加油站储油罐清洗服务相配合开展。</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三、服务质量标准和验收标准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3.1</w:t>
      </w:r>
      <w:r>
        <w:rPr>
          <w:rFonts w:hint="eastAsia" w:ascii="仿宋_GB2312" w:hAnsi="宋体" w:eastAsia="仿宋_GB2312" w:cs="Times New Roman"/>
          <w:b w:val="0"/>
          <w:bCs w:val="0"/>
          <w:kern w:val="2"/>
          <w:sz w:val="28"/>
          <w:szCs w:val="28"/>
          <w:lang w:val="zh-CN" w:eastAsia="zh-CN" w:bidi="ar-SA"/>
        </w:rPr>
        <w:t>服务质量标准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依据国家安全生产行业标准要求对储油罐进行检验，检测工作按以下规范开展检验与验收，检验及监测报告按以下规范要求出具。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罐内密封系统、量油系统、液位仪系统、静电跨接系统等设备附件完整、功能正常，无损坏、渗漏等问题。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3.2</w:t>
      </w:r>
      <w:r>
        <w:rPr>
          <w:rFonts w:hint="eastAsia" w:ascii="仿宋_GB2312" w:hAnsi="宋体" w:eastAsia="仿宋_GB2312" w:cs="Times New Roman"/>
          <w:b w:val="0"/>
          <w:bCs w:val="0"/>
          <w:kern w:val="2"/>
          <w:sz w:val="28"/>
          <w:szCs w:val="28"/>
          <w:lang w:val="zh-CN" w:eastAsia="zh-CN" w:bidi="ar-SA"/>
        </w:rPr>
        <w:t>验收标准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《加油（气）站油（气）储存罐体阻隔防爆技术要求》（AQ/T 3001-2021）；</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《石油化工有毒、可燃介质钢制管道施工及验收规范》SH 3501-2011；</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《化学品生产单位受限空间作业安全规范》AQ 3028-2008。</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四、作业前安全分析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在作业人员及设备进场前，乙方须完成安全分析并编制书面安全分析表，明确相关安全隐患和注意事项，组织所有作业人员开展安全交底，确保作业人员知悉全部隐患并严格按规范作业。</w:t>
      </w:r>
    </w:p>
    <w:tbl>
      <w:tblPr>
        <w:tblStyle w:val="4"/>
        <w:tblW w:w="8237" w:type="dxa"/>
        <w:jc w:val="center"/>
        <w:tblLayout w:type="autofit"/>
        <w:tblCellMar>
          <w:top w:w="0" w:type="dxa"/>
          <w:left w:w="0" w:type="dxa"/>
          <w:bottom w:w="0" w:type="dxa"/>
          <w:right w:w="0" w:type="dxa"/>
        </w:tblCellMar>
      </w:tblPr>
      <w:tblGrid>
        <w:gridCol w:w="777"/>
        <w:gridCol w:w="1981"/>
        <w:gridCol w:w="1510"/>
        <w:gridCol w:w="1701"/>
        <w:gridCol w:w="2268"/>
      </w:tblGrid>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风险因素</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可能造成的事故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事故造成后果</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削减措施</w:t>
            </w:r>
          </w:p>
        </w:tc>
      </w:tr>
      <w:tr>
        <w:tblPrEx>
          <w:tblCellMar>
            <w:top w:w="0" w:type="dxa"/>
            <w:left w:w="0" w:type="dxa"/>
            <w:bottom w:w="0" w:type="dxa"/>
            <w:right w:w="0" w:type="dxa"/>
          </w:tblCellMar>
        </w:tblPrEx>
        <w:trPr>
          <w:trHeight w:val="111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罐内含有毒物质、可燃气体、静电</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燃烧、爆炸、中毒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人员死亡、重伤、轻伤、设备损坏、环境污染。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在作业前应对油罐内气体进行检测，检测氧含量、可燃气体浓度、一氧化碳浓度和硫化氢浓度指标是否满足作业要求</w:t>
            </w:r>
          </w:p>
        </w:tc>
      </w:tr>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受限空间作业前和作业中未进行气体检测</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爆炸、窒息、中毒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应在作业前进行油气浓度和氧气含量的检测，在作业中使用四合一气体检测仪进行监测</w:t>
            </w:r>
          </w:p>
        </w:tc>
      </w:tr>
      <w:tr>
        <w:tblPrEx>
          <w:tblCellMar>
            <w:top w:w="0" w:type="dxa"/>
            <w:left w:w="0" w:type="dxa"/>
            <w:bottom w:w="0" w:type="dxa"/>
            <w:right w:w="0" w:type="dxa"/>
          </w:tblCellMar>
        </w:tblPrEx>
        <w:trPr>
          <w:trHeight w:val="564"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作业区域内没有配备灭火器材</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燃烧、爆炸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现场应配备足量的灭火器材，并编制相应的应急预案</w:t>
            </w:r>
          </w:p>
        </w:tc>
      </w:tr>
      <w:tr>
        <w:tblPrEx>
          <w:tblCellMar>
            <w:top w:w="0" w:type="dxa"/>
            <w:left w:w="0" w:type="dxa"/>
            <w:bottom w:w="0" w:type="dxa"/>
            <w:right w:w="0" w:type="dxa"/>
          </w:tblCellMar>
        </w:tblPrEx>
        <w:trPr>
          <w:trHeight w:val="83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罐内未与其外工艺管线、其它设施有效隔绝。</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混油、环境污染、油气泄漏</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在作业前应对各将油罐与其他设备和管线进行盲断</w:t>
            </w:r>
          </w:p>
        </w:tc>
      </w:tr>
      <w:tr>
        <w:tblPrEx>
          <w:tblCellMar>
            <w:top w:w="0" w:type="dxa"/>
            <w:left w:w="0" w:type="dxa"/>
            <w:bottom w:w="0" w:type="dxa"/>
            <w:right w:w="0" w:type="dxa"/>
          </w:tblCellMar>
        </w:tblPrEx>
        <w:trPr>
          <w:trHeight w:val="139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临时用电和</w:t>
            </w:r>
            <w:r>
              <w:rPr>
                <w:rFonts w:hint="eastAsia" w:ascii="仿宋_GB2312" w:hAnsi="仿宋_GB2312" w:eastAsia="仿宋_GB2312" w:cs="仿宋_GB2312"/>
                <w:color w:val="000000"/>
                <w:sz w:val="20"/>
                <w:szCs w:val="20"/>
                <w:lang w:eastAsia="zh-CN" w:bidi="ar"/>
              </w:rPr>
              <w:t>检测</w:t>
            </w:r>
            <w:r>
              <w:rPr>
                <w:rFonts w:hint="eastAsia" w:ascii="仿宋_GB2312" w:hAnsi="仿宋_GB2312" w:eastAsia="仿宋_GB2312" w:cs="仿宋_GB2312"/>
                <w:color w:val="000000"/>
                <w:sz w:val="20"/>
                <w:szCs w:val="20"/>
                <w:lang w:bidi="ar"/>
              </w:rPr>
              <w:t>作业个人防护器具缺损</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触电、窒息、中毒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作业前应对作业人员防护用品进行检查，临时用电作业人员应带绝缘手套穿绝缘胶鞋进行作业，</w:t>
            </w:r>
            <w:r>
              <w:rPr>
                <w:rFonts w:hint="eastAsia" w:ascii="仿宋_GB2312" w:hAnsi="仿宋_GB2312" w:eastAsia="仿宋_GB2312" w:cs="仿宋_GB2312"/>
                <w:color w:val="000000"/>
                <w:sz w:val="20"/>
                <w:szCs w:val="20"/>
                <w:lang w:eastAsia="zh-CN" w:bidi="ar"/>
              </w:rPr>
              <w:t>检测</w:t>
            </w:r>
            <w:r>
              <w:rPr>
                <w:rFonts w:hint="eastAsia" w:ascii="仿宋_GB2312" w:hAnsi="仿宋_GB2312" w:eastAsia="仿宋_GB2312" w:cs="仿宋_GB2312"/>
                <w:color w:val="000000"/>
                <w:sz w:val="20"/>
                <w:szCs w:val="20"/>
                <w:lang w:bidi="ar"/>
              </w:rPr>
              <w:t>作业人员应佩戴正压式呼吸器进行作业</w:t>
            </w:r>
          </w:p>
        </w:tc>
      </w:tr>
      <w:tr>
        <w:tblPrEx>
          <w:tblCellMar>
            <w:top w:w="0" w:type="dxa"/>
            <w:left w:w="0" w:type="dxa"/>
            <w:bottom w:w="0" w:type="dxa"/>
            <w:right w:w="0" w:type="dxa"/>
          </w:tblCellMar>
        </w:tblPrEx>
        <w:trPr>
          <w:trHeight w:val="65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eastAsia="zh-CN" w:bidi="ar"/>
              </w:rPr>
              <w:t>检测</w:t>
            </w:r>
            <w:r>
              <w:rPr>
                <w:rFonts w:hint="eastAsia" w:ascii="仿宋_GB2312" w:hAnsi="仿宋_GB2312" w:eastAsia="仿宋_GB2312" w:cs="仿宋_GB2312"/>
                <w:color w:val="000000"/>
                <w:sz w:val="20"/>
                <w:szCs w:val="20"/>
                <w:lang w:bidi="ar"/>
              </w:rPr>
              <w:t>作业配备防爆工具</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燃烧、爆炸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bidi="ar"/>
              </w:rPr>
              <w:t>火灾、爆炸、人员死亡、重伤、轻伤</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作业前应对作业人员防爆工具进行检查</w:t>
            </w:r>
          </w:p>
        </w:tc>
      </w:tr>
      <w:tr>
        <w:tblPrEx>
          <w:tblCellMar>
            <w:top w:w="0" w:type="dxa"/>
            <w:left w:w="0" w:type="dxa"/>
            <w:bottom w:w="0" w:type="dxa"/>
            <w:right w:w="0" w:type="dxa"/>
          </w:tblCellMar>
        </w:tblPrEx>
        <w:trPr>
          <w:trHeight w:val="697"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作业人员应具有岗位资格证</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触电、窒息、中毒</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火灾、爆炸、人员死亡、重伤、轻伤、环境污染</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lang w:bidi="ar"/>
              </w:rPr>
            </w:pPr>
            <w:r>
              <w:rPr>
                <w:rFonts w:hint="eastAsia" w:ascii="仿宋_GB2312" w:hAnsi="仿宋_GB2312" w:eastAsia="仿宋_GB2312" w:cs="仿宋_GB2312"/>
                <w:color w:val="000000"/>
                <w:sz w:val="20"/>
                <w:szCs w:val="20"/>
                <w:lang w:bidi="ar"/>
              </w:rPr>
              <w:t>作业前应对作业人员岗位资格证进行检查和备案</w:t>
            </w:r>
          </w:p>
        </w:tc>
      </w:tr>
    </w:tbl>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sz w:val="28"/>
          <w:szCs w:val="28"/>
          <w:lang w:val="zh-CN" w:eastAsia="zh-CN"/>
        </w:rPr>
      </w:pPr>
      <w:bookmarkStart w:id="2" w:name="_Toc100592752"/>
      <w:r>
        <w:rPr>
          <w:rFonts w:hint="eastAsia" w:ascii="仿宋_GB2312" w:hAnsi="宋体" w:eastAsia="仿宋_GB2312" w:cs="Times New Roman"/>
          <w:b/>
          <w:bCs/>
          <w:sz w:val="28"/>
          <w:szCs w:val="28"/>
          <w:lang w:val="zh-CN" w:eastAsia="zh-CN"/>
        </w:rPr>
        <w:t>五、安全教育</w:t>
      </w:r>
      <w:bookmarkEnd w:id="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5.1检测作业开始前，甲方核查入场人员的相关资质证件，确认无误后准许入场作业。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5.2乙方对作业人员开展安全交底，明确检测作业安全风险、相应防范措施和应急处置流程。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5.3组织作业人员学习防静电安全技术规程、防火防爆十大禁令、进入有限空间作业安全管理办法等相关法规及操作规程。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5.4开展呼吸器具的使用、维护和保养知识培训。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5.5讲解防护及抢救用品的使用方法、注意事项等相关知识。</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textAlignment w:val="auto"/>
        <w:rPr>
          <w:rFonts w:hint="eastAsia" w:ascii="仿宋_GB2312" w:hAnsi="宋体" w:eastAsia="仿宋_GB2312" w:cs="Times New Roman"/>
          <w:b/>
          <w:bCs/>
          <w:sz w:val="28"/>
          <w:szCs w:val="28"/>
          <w:lang w:val="zh-CN" w:eastAsia="zh-CN"/>
        </w:rPr>
      </w:pPr>
      <w:bookmarkStart w:id="3" w:name="_Toc100592753"/>
      <w:r>
        <w:rPr>
          <w:rFonts w:hint="eastAsia" w:ascii="仿宋_GB2312" w:hAnsi="宋体" w:eastAsia="仿宋_GB2312" w:cs="Times New Roman"/>
          <w:b/>
          <w:bCs/>
          <w:sz w:val="28"/>
          <w:szCs w:val="28"/>
          <w:lang w:val="zh-CN" w:eastAsia="zh-CN"/>
        </w:rPr>
        <w:t>六、</w:t>
      </w:r>
      <w:bookmarkEnd w:id="3"/>
      <w:r>
        <w:rPr>
          <w:rFonts w:hint="eastAsia" w:ascii="仿宋_GB2312" w:hAnsi="宋体" w:eastAsia="仿宋_GB2312" w:cs="Times New Roman"/>
          <w:b/>
          <w:bCs/>
          <w:sz w:val="28"/>
          <w:szCs w:val="28"/>
          <w:lang w:val="zh-CN" w:eastAsia="zh-CN"/>
        </w:rPr>
        <w:t>施工人员与现场准备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6.1施工开始前，乙方对所用设备进行全面检查，确保功能齐全，所有设备及器具杜绝带病运行。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6.2作业区域周围设置防护圈和醒目警示牌，非作业人员严禁入内。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6.3作业期间必须安排专人全程监护，专职监看作业状态，发现反常情况立即停止作业并组织人员撤离。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6.4现场配备充足的灭火毯及合格灭火器材，器材周边1米内无遮挡。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6.5作业过程中随时检查设备机具的完好性，发现问题立即停机处理。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6.6施工时严禁携带、使用手机、火种等易燃易爆物品，作业人员严格听从作业管理人员的指挥及安排，不得随意挪动作业现场的设备设施。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6.7施工作业时必须使用合格的防爆工具。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6.8抬挪设备或使用工具时做到轻拿轻放，避免磕碰、摩擦产生火花。</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6.9参加施工的工作人员进入施工现场，必须按规定穿戴安全帽、保险带等劳动保护用品，禁止穿带钉、易滑和敞口的鞋。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6.10电气设备和线路的绝缘必须良好，所有用电设备使用防爆开关，并做到一机一保险；禁止将电线裸露插入插座中，或将裸铜线挂在电源开关上，禁止把电线放在潮湿的地面上。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6.11施工中严格按照操作规范作业，作业人员如出现过敏、头晕、呕吐等不适现象，应立即离开现场进入安全通风区，并及时采取处置措施。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6.12因施工区域范围有限，遇紧急情况时，现场人员可通过喊话方式及时通知相关人员。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6.13作业人员需具备有限空间作业证、防爆作业证等相关资质，资质证书复印件交甲方备案，无证人员不得参与作业。</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十、现场恢复与验收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10.1作业设备拆除前，由专业人员切断临时电源、拆除临时供电线路，有序收集整理工具及设备。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10.2施工人员有序拆除、整理油气抑制管线、回收管线、移送管线，做好管线标识和存放工作。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10.3按要求拆除、整理各类安全警示牌，恢复作业区域原有标识。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10.4对各种施工器材进行最终整理，达到调运转出要求。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10.5按规范对油罐管路进行恢复、孔口进行封闭，管路恢复后按0.4Mpa压力进行气密试验，无泄漏为合格，试验方法符合SH3501-2011，做好试验记录。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10.6油罐附件恢复后，现场进行静电阻值检测，做好检测记录，确保附件完好、功能正常。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10.7甲乙双方共同对检测后的油罐进行现场验收，验收合格后办理书面验收手续；验收不合格的，乙方在3个工作日内无条件返工。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10.8验收合格后，乙方将作业设备有序运出，检测作业正式结束。</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4" w:name="_Toc12359"/>
      <w:bookmarkStart w:id="5" w:name="_Toc15130"/>
      <w:bookmarkStart w:id="6" w:name="_Toc100592760"/>
      <w:r>
        <w:rPr>
          <w:rFonts w:hint="eastAsia" w:ascii="仿宋_GB2312" w:hAnsi="宋体" w:eastAsia="仿宋_GB2312" w:cs="Times New Roman"/>
          <w:b/>
          <w:bCs/>
          <w:sz w:val="28"/>
          <w:szCs w:val="28"/>
          <w:lang w:val="zh-CN" w:eastAsia="zh-CN"/>
        </w:rPr>
        <w:t>十一、安全保障措施</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11.1进入油（库）站区严禁烟火，施工车辆必须加装防火帽，所有进罐施工机具、电气、通讯工具均需符合防爆标准并经检查合格。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11.2工人入场时需穿防静电工服工鞋、佩带安全帽、胸卡，按规定佩戴其他劳动防护用品。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11.3施工操作区域利用警戒带进行封闭隔离，设置醒目警示牌，防止闲杂人员进入。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11.4现场配备静电消除器，作业人员进入作业区域前必须消除人体静电。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11.5人员进罐前，严格按通用检测规则检测罐内气体浓度，氧气浓度在19.5-23.5VOL％之间、可燃气体低于4LEL％、硫化氢≤10ppm、一氧化碳与周围大气环境一致时，作业人员方可进罐作业；人员进罐时，必须在人孔处留人全程监护，气体浓度达不到要求，禁止入罐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11.6检测期间，警戒线内不允许其它施工交叉作业，罐区内严禁动火作业。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11.7开机前对所有工艺环节进行全面检查，确认无误后方可开机运行。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11.8现场配备急救箱1个，急救箱内备足常用急救药品和器材，放置在醒目、易取用的位置，防止意外发生时能第一时间开展急救。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11.9罐上检测管线法兰连接处全部做静电跨接，并且连接到储罐本体，做到和储罐等电位。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11.10现场应配备不少于2具8KG干粉灭火器和1台35KG干粉灭火器，罐区入口、作业点3米内各至少摆放1具，灭火器压力正常、在有效期内，安排专人负责管理。</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7" w:name="_Toc100592764"/>
      <w:bookmarkStart w:id="8" w:name="_Toc22222"/>
      <w:bookmarkStart w:id="9" w:name="_Toc35097515"/>
      <w:bookmarkStart w:id="10" w:name="_Toc97472151"/>
      <w:bookmarkStart w:id="11" w:name="_Toc27570"/>
      <w:r>
        <w:rPr>
          <w:rFonts w:hint="eastAsia" w:ascii="仿宋_GB2312" w:hAnsi="宋体" w:eastAsia="仿宋_GB2312" w:cs="Times New Roman"/>
          <w:b/>
          <w:bCs/>
          <w:sz w:val="28"/>
          <w:szCs w:val="28"/>
          <w:lang w:val="zh-CN" w:eastAsia="zh-CN"/>
        </w:rPr>
        <w:t>十二、事故应急救援准备</w:t>
      </w:r>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12" w:name="_Toc20208"/>
      <w:bookmarkStart w:id="13" w:name="_Toc290836044"/>
      <w:bookmarkStart w:id="14" w:name="_Toc20207"/>
      <w:bookmarkStart w:id="15" w:name="_Toc35097516"/>
      <w:bookmarkStart w:id="16" w:name="_Toc290820362"/>
      <w:r>
        <w:rPr>
          <w:rFonts w:hint="eastAsia" w:ascii="仿宋_GB2312" w:hAnsi="宋体" w:eastAsia="仿宋_GB2312" w:cs="Times New Roman"/>
          <w:b w:val="0"/>
          <w:bCs w:val="0"/>
          <w:kern w:val="2"/>
          <w:sz w:val="28"/>
          <w:szCs w:val="28"/>
          <w:lang w:val="en-US" w:eastAsia="zh-CN" w:bidi="ar-SA"/>
        </w:rPr>
        <w:t>12.1应急救援现场基本条件</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12.1.1乙方项目管理人员必须全程驻场，各级责任人员职责范围清晰、落实到位，并在现场公示。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12.1.2现场设立有效的医疗急救药箱，药箱内备足常用急救药品、器材，定期检查补充。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12.1.3施工现场按消防规定配备足够的合格灭火器材，定期检查、更换灭火药物，确保器材完好有效。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12.1.4消防用水源必须充足，连接方便，符合消防规范规定。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12.1.5消防通道保持畅通，符合通行条件，不得占用、堵塞。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12.1.6施工现场必须具备可行的通讯工具，确保通讯畅通，发生事故后能在规定时间内将事故情况层级上报。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17" w:name="_Toc7052"/>
      <w:bookmarkStart w:id="18" w:name="_Toc30215"/>
      <w:bookmarkStart w:id="19" w:name="_Toc35097517"/>
      <w:bookmarkStart w:id="20" w:name="_Toc290836045"/>
      <w:bookmarkStart w:id="21" w:name="_Toc290820363"/>
      <w:r>
        <w:rPr>
          <w:rFonts w:hint="eastAsia" w:ascii="仿宋_GB2312" w:hAnsi="宋体" w:eastAsia="仿宋_GB2312" w:cs="Times New Roman"/>
          <w:b w:val="0"/>
          <w:bCs w:val="0"/>
          <w:kern w:val="2"/>
          <w:sz w:val="28"/>
          <w:szCs w:val="28"/>
          <w:lang w:val="en-US" w:eastAsia="zh-CN" w:bidi="ar-SA"/>
        </w:rPr>
        <w:t>12.2施工现场应急救援措施</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12.2.1当发生事故时，负伤人员或者最先发现事故的人，应立即报告项目经理或安全员，并马上组织人力现场抢救受伤害者，必要时通知医务人员到现场抢救，根据伤情需要，协助医务人员将伤者送医治疗。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12.2.2事故发生后，各级人员应保持镇静，切实履行自身职责，主动控制局面，做到有组织、有指挥地结合实际情况妥善处理。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12.2.3第一时间开展“救死扶伤”工作，采取措施救护受伤（害）人员；对必须在现场进行紧急抢救的，应采取止血、人工呼吸等应急方法施救，否则立即用工地的交通工具或出租车将伤者送到就近医院抢救，同时采取有效措施预防事故蔓延及扩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12.2.4认真保护事故现场及处理善后工作，凡与事故有关的物体、痕迹、状态不得破坏，并划出保护区禁止闲人进入。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12.2.5因抢救受伤（害）人员，以及疏导交通等原因，需要移动现场某些物体时，必须做好现场标记、拍照、录像或绘制现场简图，并写出书面记录，妥善保存现场重要痕迹、物证等。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bookmarkStart w:id="22" w:name="_Toc290836046"/>
      <w:bookmarkStart w:id="23" w:name="_Toc35097518"/>
      <w:bookmarkStart w:id="24" w:name="_Toc290820364"/>
      <w:bookmarkStart w:id="25" w:name="_Toc16234"/>
      <w:r>
        <w:rPr>
          <w:rFonts w:hint="eastAsia" w:ascii="仿宋_GB2312" w:hAnsi="宋体" w:eastAsia="仿宋_GB2312" w:cs="Times New Roman"/>
          <w:b w:val="0"/>
          <w:bCs w:val="0"/>
          <w:kern w:val="2"/>
          <w:sz w:val="28"/>
          <w:szCs w:val="28"/>
          <w:highlight w:val="none"/>
          <w:lang w:val="en-US" w:eastAsia="zh-CN" w:bidi="ar-SA"/>
        </w:rPr>
        <w:t>12.3发生火灾事故时，施工现场应急救援措施</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12.3.1立即查明起火部位及燃烧的物质，积极抢救烧伤者，并使用施工现场所有消防器材开展灭火自救工作。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12.3.2迅速、准确拨打119报警，拨打时做到镇静拨号，清晰说明火灾单位的名称、地址、电话号码、燃烧部位、燃烧物质的性能等信息。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12.3.3报警后，派专人到约定的路口迎接消防队，引导消防队进入火灾现场。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highlight w:val="none"/>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12.3.4在消防队到达前，对易燃、易爆的物质采取正确、有效的隔离措施，根据火场情况，机动灵活地使用灭火用具。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highlight w:val="none"/>
          <w:lang w:val="en-US" w:eastAsia="zh-CN" w:bidi="ar-SA"/>
        </w:rPr>
        <w:t>12.3.5在扑救现场，所有人员行动统一，如火势扩大、无法进行一般扑救时，应及时组织扑救人员有序撤退，避免不必要的伤亡。</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bookmarkStart w:id="26" w:name="_Toc100592765"/>
      <w:bookmarkStart w:id="27" w:name="_Toc171566890"/>
      <w:bookmarkStart w:id="28" w:name="_Toc17660"/>
      <w:bookmarkStart w:id="29" w:name="_Toc97472152"/>
      <w:bookmarkStart w:id="30" w:name="_Toc290836056"/>
      <w:bookmarkStart w:id="31" w:name="_Toc35097523"/>
      <w:bookmarkStart w:id="32" w:name="_Toc290820367"/>
      <w:bookmarkStart w:id="33" w:name="_Toc12446"/>
      <w:r>
        <w:rPr>
          <w:rFonts w:hint="eastAsia" w:ascii="仿宋_GB2312" w:hAnsi="宋体" w:eastAsia="仿宋_GB2312" w:cs="Times New Roman"/>
          <w:b/>
          <w:bCs/>
          <w:sz w:val="28"/>
          <w:szCs w:val="28"/>
          <w:lang w:val="zh-CN" w:eastAsia="zh-CN"/>
        </w:rPr>
        <w:t>十</w:t>
      </w:r>
      <w:r>
        <w:rPr>
          <w:rFonts w:hint="eastAsia" w:ascii="仿宋_GB2312" w:hAnsi="宋体" w:eastAsia="仿宋_GB2312" w:cs="Times New Roman"/>
          <w:b/>
          <w:bCs/>
          <w:sz w:val="28"/>
          <w:szCs w:val="28"/>
          <w:lang w:val="en-US" w:eastAsia="zh-CN"/>
        </w:rPr>
        <w:t>三</w:t>
      </w:r>
      <w:r>
        <w:rPr>
          <w:rFonts w:hint="eastAsia" w:ascii="仿宋_GB2312" w:hAnsi="宋体" w:eastAsia="仿宋_GB2312" w:cs="Times New Roman"/>
          <w:b/>
          <w:bCs/>
          <w:sz w:val="28"/>
          <w:szCs w:val="28"/>
          <w:lang w:val="zh-CN" w:eastAsia="zh-CN"/>
        </w:rPr>
        <w:t>、应急响应</w:t>
      </w:r>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34" w:name="_Toc35097524"/>
      <w:bookmarkStart w:id="35" w:name="_Toc290820369"/>
      <w:bookmarkStart w:id="36" w:name="_Toc6343"/>
      <w:bookmarkStart w:id="37" w:name="_Toc290836060"/>
      <w:r>
        <w:rPr>
          <w:rFonts w:hint="eastAsia" w:ascii="仿宋_GB2312" w:hAnsi="宋体" w:eastAsia="仿宋_GB2312" w:cs="Times New Roman"/>
          <w:b w:val="0"/>
          <w:bCs w:val="0"/>
          <w:kern w:val="2"/>
          <w:sz w:val="28"/>
          <w:szCs w:val="28"/>
          <w:lang w:val="en-US" w:eastAsia="zh-CN" w:bidi="ar-SA"/>
        </w:rPr>
        <w:t>13.1物体打击事故应急救援措施</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当发生物体打击事故后，抢救的重点放在对颅脑损伤、胸部骨折和出血的处理上。立即组织抢救伤者，首先观察伤者的受伤情况、部位、伤害性质：如伤员发生休克，应先处理休克；遇呼吸、心跳停止者，应立即进行人工呼吸、胸外心脏挤压；处于休克状态的伤员要保持安静、保暖、平卧、少动，并将下肢抬高约20度左右，尽快送医院抢救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出现颅脑损伤时，必须维持呼吸道通畅，昏迷者应平卧、面部转向一侧，以防舌根下坠或分泌物、呕吐物吸入导致喉阻塞；有骨折者，应初步固定后再搬运；遇有凹陷骨折、严重的颅底骨折及严重的脑损伤症状出现时，创伤处用消毒的纱布或清洁布等覆盖，用绷带或布条包扎后，及时送往就近有条件的医院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38" w:name="_Toc35097525"/>
      <w:bookmarkStart w:id="39" w:name="_Toc290836063"/>
      <w:bookmarkStart w:id="40" w:name="_Toc30321"/>
      <w:bookmarkStart w:id="41" w:name="_Toc290820370"/>
      <w:r>
        <w:rPr>
          <w:rFonts w:hint="eastAsia" w:ascii="仿宋_GB2312" w:hAnsi="宋体" w:eastAsia="仿宋_GB2312" w:cs="Times New Roman"/>
          <w:b w:val="0"/>
          <w:bCs w:val="0"/>
          <w:kern w:val="2"/>
          <w:sz w:val="28"/>
          <w:szCs w:val="28"/>
          <w:lang w:val="en-US" w:eastAsia="zh-CN" w:bidi="ar-SA"/>
        </w:rPr>
        <w:t>13.2触电事故应急救援措施</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2" w:name="_Toc32435"/>
      <w:bookmarkStart w:id="43" w:name="_Toc290836065"/>
      <w:r>
        <w:rPr>
          <w:rFonts w:hint="eastAsia" w:ascii="仿宋_GB2312" w:hAnsi="宋体" w:eastAsia="仿宋_GB2312" w:cs="Times New Roman"/>
          <w:b w:val="0"/>
          <w:bCs w:val="0"/>
          <w:kern w:val="2"/>
          <w:sz w:val="28"/>
          <w:szCs w:val="28"/>
          <w:lang w:val="en-US" w:eastAsia="zh-CN" w:bidi="ar-SA"/>
        </w:rPr>
        <w:t>13.2.1应急救援措施</w:t>
      </w:r>
      <w:bookmarkEnd w:id="42"/>
      <w:bookmarkEnd w:id="4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触电急救的要点是动作迅速、救护得法，切不可惊慌失措、束手无策，严格贯彻“迅速、就地、正确、坚持”的触电急救八字方针。发现有人触电，首先要尽快使触电者脱离电源，然后根据触电者的具体症状进行对症施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4" w:name="_Toc5914"/>
      <w:r>
        <w:rPr>
          <w:rFonts w:hint="eastAsia" w:ascii="仿宋_GB2312" w:hAnsi="宋体" w:eastAsia="仿宋_GB2312" w:cs="Times New Roman"/>
          <w:b w:val="0"/>
          <w:bCs w:val="0"/>
          <w:kern w:val="2"/>
          <w:sz w:val="28"/>
          <w:szCs w:val="28"/>
          <w:lang w:val="en-US" w:eastAsia="zh-CN" w:bidi="ar-SA"/>
        </w:rPr>
        <w:t>13.2.2脱离电源的基本方法：</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13.2.2.1将出事附近电源开关刀拉掉、或将电源插头拔掉，直接切断电源。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13.2.2.2用干燥的绝缘木棒、竹竿、布带等物件将电源线从触电者身上拨离，或者将触电者拨离电源。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13.2.2.3必要时可用绝缘工具（如带有绝缘柄的电工钳、干燥的木柄斧头、锄头）切断电源线。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13.2.2.4救护人戴上绝缘手套或在手上包缠干燥的衣服、围巾、帽子等绝缘物品拖拽触电者，使之脱离电源。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13.2.2.5如果触电者由于痉挛手指紧握导线并缠绕在身上，救护人可先用干燥的木板塞进触电者身下使其与地绝缘来隔断入地电流，然后再采取其他办法切断电源。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13.2.2.6如果触电者触及断落在地上的带电高压导线，且尚未确证线路无电之前，救护人员不可进入断线落地点8～10m的范围内，预防跨步电压触电；进入该范围的救护人员应穿上绝缘靴接近触电者，触电者脱离带电导线后应迅速将其带至8～10m以外立即开始触电急救；只有在确证线路已经无电后，才可在触电者离开触电导线后就地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5" w:name="_Toc15242"/>
      <w:bookmarkStart w:id="46" w:name="_Toc35097526"/>
      <w:bookmarkStart w:id="47" w:name="_Toc290836067"/>
      <w:bookmarkStart w:id="48" w:name="_Toc290820371"/>
      <w:r>
        <w:rPr>
          <w:rFonts w:hint="eastAsia" w:ascii="仿宋_GB2312" w:hAnsi="宋体" w:eastAsia="仿宋_GB2312" w:cs="Times New Roman"/>
          <w:b w:val="0"/>
          <w:bCs w:val="0"/>
          <w:kern w:val="2"/>
          <w:sz w:val="28"/>
          <w:szCs w:val="28"/>
          <w:lang w:val="en-US" w:eastAsia="zh-CN" w:bidi="ar-SA"/>
        </w:rPr>
        <w:t>13.3机械伤害事故应急救援措施</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13.3.1当发生机械伤害事故后，抢救重点是调集现场的人力、物力、设备，尽快把压在人身上的设备构件搬离和割开，将受伤者迅速抬出并立即开展抢救工作。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13.3.2抢救的重点放在对休克、骨折和出血的处理上，立即组织抢救伤者，首先观察伤者的受伤情况、部位、伤害性质：如伤员发生休克，应先处理休克；遇呼吸、心跳停止者，应立即进行人工呼吸、胸外心脏挤压；处于休克状态的伤员要保持安静、保暖、平卧、少动，并将下肢抬高约20度左右，尽快送医院抢救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13.3.3出现颅脑损伤时，必须维持呼吸道通畅，昏迷者应平卧、面部转向一侧，以防舌根下坠或分泌物、呕吐物吸入导致喉阻塞；有骨折者，应初步固定后再搬运；遇有凹陷骨折、严重的颅底骨折及严重的脑损伤症状出现时，创伤处用消毒的纱布或清洁布等覆盖伤口，用绷带或布条包扎后，及时送往就近有条件的医院治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13.3.4发现脊椎受伤者，创伤处用消毒的纱布或清洁布等覆盖伤口，用绷带或布条包扎后，搬运时将伤者平卧放在帆布担架或硬板上，避免受伤的脊椎移位、断裂造成截瘫甚至死亡；抢救脊椎受伤者，搬运过程中严禁只抬伤者的两肩与两腿或单肩背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13.3.5发现伤者手足骨折，不要盲目搬运伤者，应在骨折部位用夹板把受伤位置临时固定，使断端不再移位或刺伤肌肉、神经或血管；固定以固定骨折处上下关节为原则，可就地取材用木板、竹头等，在无材料的情况下，上肢可固定在身侧，下肢与健侧下肢缚在一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13.3.6遇有创伤性出血的伤员，应迅速包扎止血，使伤员保持在头低脚高的卧位，并注意保暖；动用最快的交通工具，及时把伤者送往邻近医院抢救，运送途中应尽量减少颠簸，同时密切注意伤者的呼吸、脉搏、血压及伤口的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49" w:name="_Toc35097529"/>
      <w:bookmarkStart w:id="50" w:name="_Toc290820374"/>
      <w:bookmarkStart w:id="51" w:name="_Toc290836078"/>
      <w:bookmarkStart w:id="52" w:name="_Toc16831"/>
      <w:r>
        <w:rPr>
          <w:rFonts w:hint="eastAsia" w:ascii="仿宋_GB2312" w:hAnsi="宋体" w:eastAsia="仿宋_GB2312" w:cs="Times New Roman"/>
          <w:b w:val="0"/>
          <w:bCs w:val="0"/>
          <w:kern w:val="2"/>
          <w:sz w:val="28"/>
          <w:szCs w:val="28"/>
          <w:lang w:val="en-US" w:eastAsia="zh-CN" w:bidi="ar-SA"/>
        </w:rPr>
        <w:t>13.4火灾和爆炸事故应急救援措施</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发生火灾和爆炸，首先迅速扑灭火源、拨打119报警，及时疏散现场相关人员，对伤者进行紧急救治。火灾发生初期是扑救的最佳时机，发生火灾部位的人员要及时把握时机，尽快把火扑灭。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扑救火灾的同时拨打“119”电话报警，并及时向上级有关部门及领导报告。现场的消防安全管理人员，应立即指挥员工撤离火场附近的可燃物，避免火灾区域扩大，并组织有关人员对事故区域进行保护，及时指挥、引导员工按预定的线路、方法疏散、撤离事故区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bookmarkStart w:id="53" w:name="_Toc24391"/>
      <w:r>
        <w:rPr>
          <w:rFonts w:hint="eastAsia" w:ascii="仿宋_GB2312" w:hAnsi="宋体" w:eastAsia="仿宋_GB2312" w:cs="Times New Roman"/>
          <w:b w:val="0"/>
          <w:bCs w:val="0"/>
          <w:kern w:val="2"/>
          <w:sz w:val="28"/>
          <w:szCs w:val="28"/>
          <w:lang w:val="en-US" w:eastAsia="zh-CN" w:bidi="ar-SA"/>
        </w:rPr>
        <w:t>13.5窒息事故应急救援措施</w:t>
      </w:r>
      <w:bookmarkEnd w:id="5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13.5.1罐内窒息的典型症状：呼吸困难、站立不稳、倒下、昏迷等，如不及时抢救，极易导致人员死亡。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13.5.2若遇突发窒息情况，监护人员立即拉紧安全绳，将罐内人员快速拉出罐外。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13.5.3如果施工人员在罐内被支撑物挡住，监护人员立即佩戴好备用的安全带、安全绳、正压式防毒面罩下罐进行抢救。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13.5.4将伤者救出罐外后，立即移至空气流通处，使其呼吸新鲜空气和氧气，同时开展初步急救。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13.5.5现场施救的同时，及时拨打120急救电话，将伤者急送医院抢救，并做好相关记录。</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kern w:val="2"/>
          <w:sz w:val="28"/>
          <w:szCs w:val="28"/>
          <w:lang w:val="zh-CN" w:eastAsia="zh-CN" w:bidi="ar-SA"/>
        </w:rPr>
        <w:t>十</w:t>
      </w:r>
      <w:r>
        <w:rPr>
          <w:rFonts w:hint="eastAsia" w:ascii="仿宋_GB2312" w:hAnsi="宋体" w:eastAsia="仿宋_GB2312" w:cs="Times New Roman"/>
          <w:b/>
          <w:bCs/>
          <w:kern w:val="2"/>
          <w:sz w:val="28"/>
          <w:szCs w:val="28"/>
          <w:lang w:val="en-US" w:eastAsia="zh-CN" w:bidi="ar-SA"/>
        </w:rPr>
        <w:t>四</w:t>
      </w:r>
      <w:r>
        <w:rPr>
          <w:rFonts w:hint="eastAsia" w:ascii="仿宋_GB2312" w:hAnsi="宋体" w:eastAsia="仿宋_GB2312" w:cs="Times New Roman"/>
          <w:b/>
          <w:bCs/>
          <w:sz w:val="28"/>
          <w:szCs w:val="28"/>
          <w:lang w:val="zh-CN" w:eastAsia="zh-CN"/>
        </w:rPr>
        <w:t>、权利和义务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14.1</w:t>
      </w:r>
      <w:r>
        <w:rPr>
          <w:rFonts w:hint="eastAsia" w:ascii="仿宋_GB2312" w:hAnsi="宋体" w:eastAsia="仿宋_GB2312" w:cs="Times New Roman"/>
          <w:b w:val="0"/>
          <w:bCs w:val="0"/>
          <w:kern w:val="2"/>
          <w:sz w:val="28"/>
          <w:szCs w:val="28"/>
          <w:lang w:val="zh-CN" w:eastAsia="zh-CN" w:bidi="ar-SA"/>
        </w:rPr>
        <w:t>甲方权利和义务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14.1.1甲方负责告知乙方需遵守的相关制度及管理要求，要求乙方组织作业人员学习并严格执行，告知的相关内容视为本合同的组成部分。</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14.1.2因乙方原因导致甲方受到政府部门处罚的，由乙方承担全部罚款并赔偿甲方因此造成的一切损失，甲方有权根据相关规定对乙方进行处罚。</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14.1.3甲方有权要求乙方作业人员须经过上岗前的安全教育和资质核查，未经过安全教育、无有效资质的人员，甲方有权拒绝其进入现场开展检测作业。</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14.1.4甲方应全力支持和配合乙方的工作，在人员协调、现场配合、矿区交通等方面提供必要的条件。</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14.1.5甲方按乙方要求提供检测所需的技术资料、图纸、数据、合格证等，且提供的资料应真实、完整；若因甲方提供资料虚假、不全导致检测结果偏差，由甲方承担相应责任，乙方可免责；乙方对基于真实、完整资料出具的检验数据和检验结果负责。</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14.2</w:t>
      </w:r>
      <w:r>
        <w:rPr>
          <w:rFonts w:hint="eastAsia" w:ascii="仿宋_GB2312" w:hAnsi="宋体" w:eastAsia="仿宋_GB2312" w:cs="Times New Roman"/>
          <w:b w:val="0"/>
          <w:bCs w:val="0"/>
          <w:kern w:val="2"/>
          <w:sz w:val="28"/>
          <w:szCs w:val="28"/>
          <w:lang w:val="zh-CN" w:eastAsia="zh-CN" w:bidi="ar-SA"/>
        </w:rPr>
        <w:t>乙方权利和义务</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14.2.1乙方应派遣合格的、经验丰富、技术熟练和身体状况良好的作业人员到甲方现场履行检测工作，按规定办理相关的检验安全备案工作。</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14.2.2乙方应严格遵守甲方安全管理办法，按照甲方安全要求组织检验作业，随时接受甲方或行业安全检查人员依法实施的监督检查，及时采取必要的安全防护措施，消除事故隐患。</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14.2.3乙方应在本协议约定的工期内完成检测检验工作，并出具国家认证、合法有效的检测检验报告；乙方在检测检验过程中，不得泄露甲方的技术秘密或甲方声明需保密的技术资料。</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14.2.4乙方在检测后发现所检设备有重大安全隐患时，应立即书面告知甲方，甲方应按国家有关规程和规定立即整改，并在三个月内整改合格；甲方需在收到整改通知后5个工作日内提交复检申请，乙方在收到申请后3个工作日内安排复检，按规定：在上述期限内进行复检的，复检费用为检验费的50%，逾期未整改合格并申请复检的，复检费用为检验费的100%。</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14.2.5乙方因违反法律法规及西沟矿业公司相关管理制度、操作规范而造成重大事故的，由乙方承担全部责任，甲方不负任何责任。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14.2.6乙方负责作业现场的安全生产管理，承担作业过程中因自身原因造成的人员伤亡、设备损坏、环境污染等一切事故的法律责任和经济赔偿责任。</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zh-CN" w:eastAsia="zh-CN"/>
        </w:rPr>
        <w:t>十</w:t>
      </w:r>
      <w:r>
        <w:rPr>
          <w:rFonts w:hint="eastAsia" w:ascii="仿宋_GB2312" w:hAnsi="宋体" w:eastAsia="仿宋_GB2312" w:cs="Times New Roman"/>
          <w:b/>
          <w:bCs/>
          <w:sz w:val="28"/>
          <w:szCs w:val="28"/>
          <w:lang w:val="en-US" w:eastAsia="zh-CN"/>
        </w:rPr>
        <w:t>五</w:t>
      </w:r>
      <w:r>
        <w:rPr>
          <w:rFonts w:hint="eastAsia" w:ascii="仿宋_GB2312" w:hAnsi="宋体" w:eastAsia="仿宋_GB2312" w:cs="Times New Roman"/>
          <w:b/>
          <w:bCs/>
          <w:sz w:val="28"/>
          <w:szCs w:val="28"/>
          <w:lang w:val="zh-CN" w:eastAsia="zh-CN"/>
        </w:rPr>
        <w:t>、安全文明检验要求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15.1检验作业人员进入甲方各主体工序、岗位时，应遵守岗位安全协议及相关规定，按要求办理工作票（检修任务单），待手续齐全、确认无误后方可进行作业；在检验期间，乙方必须安排专职安全员全程跟踪现场检验，做好安全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15.2甲方的一切设备、设施，乙方作业人员严禁擅自动用；如需甲方配合开关阀门等操作，必须与甲方相关岗位人员协调联系后，由甲方岗位人员操作，严禁乙方检修人员随意或私自操作。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15.3乙方在检验过程中出现影响作业安全的情况，应及时与甲方的岗位负责人进行沟通、协调解决，并将情况及时汇报给本单位领导；对情况变化后不具备安全检修条件的，乙方有权决定停止作业并组织人员撤离，同时将情况立即汇报给甲方负责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15.4乙方作业人员应遵守甲方现场文明施工要求，保持作业区域整洁，施工产生的废弃物按甲方要求分类收集、处理，不得随意丢弃。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baseline"/>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15.5作业过程中，乙方应做好各项作业记录，验收时向甲方提供完整的作业记录和检测报告。</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zh-CN" w:eastAsia="zh-CN"/>
        </w:rPr>
      </w:pPr>
      <w:r>
        <w:rPr>
          <w:rFonts w:hint="eastAsia" w:ascii="仿宋_GB2312" w:hAnsi="宋体" w:eastAsia="仿宋_GB2312" w:cs="Times New Roman"/>
          <w:b/>
          <w:bCs/>
          <w:sz w:val="28"/>
          <w:szCs w:val="28"/>
          <w:lang w:val="en-US" w:eastAsia="zh-CN"/>
        </w:rPr>
        <w:t>十六、</w:t>
      </w:r>
      <w:r>
        <w:rPr>
          <w:rFonts w:hint="eastAsia" w:ascii="仿宋_GB2312" w:hAnsi="宋体" w:eastAsia="仿宋_GB2312" w:cs="Times New Roman"/>
          <w:b/>
          <w:bCs/>
          <w:sz w:val="28"/>
          <w:szCs w:val="28"/>
          <w:lang w:val="zh-CN" w:eastAsia="zh-CN"/>
        </w:rPr>
        <w:t>交货时间及地点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16.</w:t>
      </w:r>
      <w:r>
        <w:rPr>
          <w:rFonts w:hint="eastAsia" w:ascii="仿宋_GB2312" w:hAnsi="宋体" w:eastAsia="仿宋_GB2312" w:cs="Times New Roman"/>
          <w:b w:val="0"/>
          <w:bCs w:val="0"/>
          <w:kern w:val="2"/>
          <w:sz w:val="28"/>
          <w:szCs w:val="28"/>
          <w:lang w:val="en-US" w:eastAsia="zh-CN" w:bidi="ar-SA"/>
        </w:rPr>
        <w:t>1</w:t>
      </w:r>
      <w:r>
        <w:rPr>
          <w:rFonts w:hint="eastAsia" w:ascii="仿宋_GB2312" w:hAnsi="宋体" w:eastAsia="仿宋_GB2312" w:cs="Times New Roman"/>
          <w:b w:val="0"/>
          <w:bCs w:val="0"/>
          <w:kern w:val="2"/>
          <w:sz w:val="28"/>
          <w:szCs w:val="28"/>
          <w:lang w:val="zh-CN" w:eastAsia="zh-CN" w:bidi="ar-SA"/>
        </w:rPr>
        <w:t>完工时间</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_____年____月____日前完成本项目所有检测工作，并通过甲乙双方现场验收。</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eastAsia="仿宋_GB2312" w:cs="Times New Roman"/>
          <w:b w:val="0"/>
          <w:bCs w:val="0"/>
          <w:kern w:val="2"/>
          <w:sz w:val="28"/>
          <w:szCs w:val="28"/>
          <w:lang w:val="en-US" w:eastAsia="zh-CN" w:bidi="ar-SA"/>
        </w:rPr>
        <w:t>16.2</w:t>
      </w:r>
      <w:r>
        <w:rPr>
          <w:rFonts w:hint="eastAsia" w:ascii="仿宋_GB2312" w:hAnsi="宋体" w:eastAsia="仿宋_GB2312" w:cs="Times New Roman"/>
          <w:b w:val="0"/>
          <w:bCs w:val="0"/>
          <w:kern w:val="2"/>
          <w:sz w:val="28"/>
          <w:szCs w:val="28"/>
          <w:lang w:val="zh-CN" w:eastAsia="zh-CN" w:bidi="ar-SA"/>
        </w:rPr>
        <w:t>作业及交货地点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宋体" w:eastAsia="仿宋_GB2312" w:cs="Times New Roman"/>
          <w:b w:val="0"/>
          <w:bCs w:val="0"/>
          <w:kern w:val="2"/>
          <w:sz w:val="28"/>
          <w:szCs w:val="28"/>
          <w:lang w:val="zh-CN" w:eastAsia="zh-CN" w:bidi="ar-SA"/>
        </w:rPr>
      </w:pPr>
      <w:r>
        <w:rPr>
          <w:rFonts w:hint="eastAsia" w:ascii="仿宋_GB2312" w:hAnsi="宋体" w:eastAsia="仿宋_GB2312" w:cs="Times New Roman"/>
          <w:b w:val="0"/>
          <w:bCs w:val="0"/>
          <w:kern w:val="2"/>
          <w:sz w:val="28"/>
          <w:szCs w:val="28"/>
          <w:lang w:val="zh-CN" w:eastAsia="zh-CN" w:bidi="ar-SA"/>
        </w:rPr>
        <w:t>甘肃西沟矿业有限公司矿区指定作业现场，检测报告按甲方要求提交至指定地点。</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16.3工期违约责任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本项目总工期为____天，自乙方进场之日起计算；因乙方原因逾期完成的，每逾期1天，乙方按合同总金额的1%向甲方支付违约金；逾期超过30天的，甲方有权解除本协议，乙方承担由此给甲方造成的一切损失。</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16.4质量违约责任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若检测结果未达到本协议质量标准，乙方应在3个工作日内无条件返工，返工费用由乙方承担，且工期不予顺延；若返工后仍不合格，甲方有权解除协议，不予支付全部费用，并按合同总金额的10%向甲方支付违约金，同时赔偿甲方因此造成的一切损失。</w:t>
      </w:r>
    </w:p>
    <w:p>
      <w:pPr>
        <w:keepNext w:val="0"/>
        <w:keepLines w:val="0"/>
        <w:pageBreakBefore w:val="0"/>
        <w:widowControl w:val="0"/>
        <w:tabs>
          <w:tab w:val="left" w:pos="1080"/>
        </w:tabs>
        <w:kinsoku/>
        <w:wordWrap/>
        <w:overflowPunct/>
        <w:topLinePunct w:val="0"/>
        <w:autoSpaceDE/>
        <w:autoSpaceDN/>
        <w:bidi w:val="0"/>
        <w:adjustRightInd/>
        <w:snapToGrid/>
        <w:spacing w:line="600" w:lineRule="exact"/>
        <w:ind w:firstLine="562" w:firstLineChars="200"/>
        <w:rPr>
          <w:rFonts w:hint="eastAsia"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十七、其他</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7.1本协议一式四份，甲方执三份，乙方执一份，具有同等法律效力。</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17.2甲乙双方应当对签订本协议的相关事宜保密，不得将签订主体、时间、内容等信息透露给其他任何第三人。</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17.3若乙方公司不能中标本项目，则本技术协议自动失效，双方互不承担任何责任。</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17.4本协议经甲乙双方签字并加盖公章（甲方）/合同专用章（乙方）后生效，有效期至本项目检测工作完成、验收合格且双方无任何债权债务争议之日止。</w:t>
      </w:r>
    </w:p>
    <w:p>
      <w:pPr>
        <w:pStyle w:val="7"/>
        <w:keepNext w:val="0"/>
        <w:keepLines w:val="0"/>
        <w:pageBreakBefore w:val="0"/>
        <w:widowControl w:val="0"/>
        <w:kinsoku/>
        <w:wordWrap/>
        <w:overflowPunct/>
        <w:topLinePunct w:val="0"/>
        <w:autoSpaceDE/>
        <w:autoSpaceDN/>
        <w:bidi w:val="0"/>
        <w:adjustRightInd/>
        <w:snapToGrid/>
        <w:spacing w:line="600" w:lineRule="exact"/>
        <w:rPr>
          <w:rFonts w:hint="eastAsia" w:ascii="仿宋_GB2312"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17.5因地震、暴雨、暴雪、台风等不可抗力因素导致本协议无法履行的，受影响一方应在24小时内书面通知对方，双方互不承担违约责任；待不可抗力因素消失后，双方应及时协商后续履行事宜，工期根据不可抗力影响时间相应顺延。</w:t>
      </w:r>
    </w:p>
    <w:p>
      <w:pPr>
        <w:pStyle w:val="7"/>
        <w:keepNext w:val="0"/>
        <w:keepLines w:val="0"/>
        <w:pageBreakBefore w:val="0"/>
        <w:widowControl w:val="0"/>
        <w:kinsoku/>
        <w:wordWrap/>
        <w:overflowPunct/>
        <w:topLinePunct w:val="0"/>
        <w:autoSpaceDE/>
        <w:autoSpaceDN/>
        <w:bidi w:val="0"/>
        <w:adjustRightInd/>
        <w:snapToGrid/>
        <w:spacing w:line="600" w:lineRule="exact"/>
        <w:rPr>
          <w:rFonts w:hint="default" w:ascii="仿宋_GB2312" w:hAnsi="宋体" w:eastAsia="仿宋_GB2312" w:cs="Times New Roman"/>
          <w:b w:val="0"/>
          <w:bCs w:val="0"/>
          <w:kern w:val="2"/>
          <w:sz w:val="28"/>
          <w:szCs w:val="28"/>
          <w:lang w:val="en-US" w:eastAsia="zh-CN" w:bidi="ar-SA"/>
        </w:rPr>
      </w:pPr>
      <w:r>
        <w:rPr>
          <w:rFonts w:hint="eastAsia" w:ascii="仿宋_GB2312" w:eastAsia="仿宋_GB2312" w:cs="Times New Roman"/>
          <w:b w:val="0"/>
          <w:bCs w:val="0"/>
          <w:kern w:val="2"/>
          <w:sz w:val="28"/>
          <w:szCs w:val="28"/>
          <w:lang w:val="en-US" w:eastAsia="zh-CN" w:bidi="ar-SA"/>
        </w:rPr>
        <w:t>17.6本协议未尽事宜，由甲乙双方另行协商并签订补充协议，补充协议与本协议具有同等法律效力。</w:t>
      </w:r>
    </w:p>
    <w:p>
      <w:pPr>
        <w:pStyle w:val="7"/>
        <w:keepNext w:val="0"/>
        <w:keepLines w:val="0"/>
        <w:pageBreakBefore w:val="0"/>
        <w:kinsoku/>
        <w:wordWrap/>
        <w:overflowPunct/>
        <w:topLinePunct w:val="0"/>
        <w:autoSpaceDE/>
        <w:autoSpaceDN/>
        <w:bidi w:val="0"/>
        <w:snapToGrid/>
        <w:rPr>
          <w:rFonts w:hint="eastAsia" w:ascii="仿宋_GB2312" w:hAnsi="宋体" w:eastAsia="仿宋_GB2312" w:cs="Times New Roman"/>
          <w:b w:val="0"/>
          <w:bCs w:val="0"/>
          <w:kern w:val="2"/>
          <w:sz w:val="28"/>
          <w:szCs w:val="28"/>
          <w:lang w:val="en-US" w:eastAsia="zh-CN" w:bidi="ar-SA"/>
        </w:rPr>
      </w:pP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甲方：甘肃西沟矿业有限公司</w:t>
      </w:r>
      <w:r>
        <w:rPr>
          <w:rFonts w:hint="eastAsia" w:ascii="仿宋_GB2312" w:hAnsi="宋体" w:eastAsia="仿宋_GB2312"/>
          <w:b/>
          <w:sz w:val="28"/>
          <w:szCs w:val="28"/>
        </w:rPr>
        <w:tab/>
      </w:r>
      <w:r>
        <w:rPr>
          <w:rFonts w:hint="eastAsia" w:ascii="仿宋_GB2312" w:hAnsi="宋体" w:eastAsia="仿宋_GB2312"/>
          <w:b/>
          <w:sz w:val="28"/>
          <w:szCs w:val="28"/>
        </w:rPr>
        <w:t xml:space="preserve">      乙方：</w:t>
      </w: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（行政公章）                     （合同专用章）</w:t>
      </w:r>
    </w:p>
    <w:p>
      <w:pPr>
        <w:tabs>
          <w:tab w:val="left" w:pos="1943"/>
        </w:tabs>
        <w:spacing w:line="360" w:lineRule="auto"/>
        <w:rPr>
          <w:rFonts w:ascii="仿宋_GB2312" w:hAnsi="宋体" w:eastAsia="仿宋_GB2312"/>
          <w:b/>
          <w:sz w:val="28"/>
          <w:szCs w:val="28"/>
        </w:rPr>
      </w:pPr>
      <w:r>
        <w:rPr>
          <w:rFonts w:hint="eastAsia" w:ascii="仿宋_GB2312" w:hAnsi="宋体" w:eastAsia="仿宋_GB2312"/>
          <w:b/>
          <w:sz w:val="28"/>
          <w:szCs w:val="28"/>
        </w:rPr>
        <w:t>甲方代表：                       乙方代表：</w:t>
      </w:r>
    </w:p>
    <w:p>
      <w:pPr>
        <w:tabs>
          <w:tab w:val="left" w:pos="1943"/>
        </w:tabs>
        <w:spacing w:line="360" w:lineRule="auto"/>
        <w:ind w:firstLine="562" w:firstLineChars="200"/>
        <w:rPr>
          <w:rFonts w:hint="eastAsia"/>
          <w:szCs w:val="28"/>
        </w:rPr>
      </w:pPr>
      <w:r>
        <w:rPr>
          <w:rFonts w:hint="eastAsia" w:ascii="仿宋_GB2312" w:hAnsi="宋体" w:eastAsia="仿宋_GB2312"/>
          <w:b/>
          <w:sz w:val="28"/>
          <w:szCs w:val="28"/>
        </w:rPr>
        <w:t>年  月  日</w:t>
      </w:r>
      <w:r>
        <w:rPr>
          <w:rFonts w:hint="eastAsia" w:ascii="仿宋_GB2312" w:hAnsi="宋体" w:eastAsia="仿宋_GB2312"/>
          <w:b/>
          <w:sz w:val="28"/>
          <w:szCs w:val="28"/>
        </w:rPr>
        <w:tab/>
      </w:r>
      <w:r>
        <w:rPr>
          <w:rFonts w:hint="eastAsia" w:ascii="仿宋_GB2312" w:hAnsi="宋体" w:eastAsia="仿宋_GB2312"/>
          <w:b/>
          <w:sz w:val="28"/>
          <w:szCs w:val="28"/>
        </w:rPr>
        <w:t xml:space="preserve">                     年  月   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TFhNWRkMWJkMzBjZTc0YzA3ODIzMDQyODQ4N2YifQ=="/>
  </w:docVars>
  <w:rsids>
    <w:rsidRoot w:val="29A31F13"/>
    <w:rsid w:val="010B1CE4"/>
    <w:rsid w:val="0B4D0002"/>
    <w:rsid w:val="0B677DA5"/>
    <w:rsid w:val="0DC55D17"/>
    <w:rsid w:val="0DD94734"/>
    <w:rsid w:val="10530254"/>
    <w:rsid w:val="11C60ED1"/>
    <w:rsid w:val="14BB5B58"/>
    <w:rsid w:val="14ED57B5"/>
    <w:rsid w:val="15510848"/>
    <w:rsid w:val="187B6AF5"/>
    <w:rsid w:val="1B757356"/>
    <w:rsid w:val="1C9B36D8"/>
    <w:rsid w:val="257D2D1E"/>
    <w:rsid w:val="28785443"/>
    <w:rsid w:val="29A31F13"/>
    <w:rsid w:val="2B293024"/>
    <w:rsid w:val="30690B00"/>
    <w:rsid w:val="31324C8A"/>
    <w:rsid w:val="38591C51"/>
    <w:rsid w:val="3859393F"/>
    <w:rsid w:val="3AAA5EC5"/>
    <w:rsid w:val="3B3B18AA"/>
    <w:rsid w:val="3F1A5D9B"/>
    <w:rsid w:val="40C80D5A"/>
    <w:rsid w:val="43F33F44"/>
    <w:rsid w:val="45AD143E"/>
    <w:rsid w:val="49927469"/>
    <w:rsid w:val="56AE2904"/>
    <w:rsid w:val="57721CB8"/>
    <w:rsid w:val="5906270F"/>
    <w:rsid w:val="59AC0A4E"/>
    <w:rsid w:val="5C23749D"/>
    <w:rsid w:val="5DC91E4C"/>
    <w:rsid w:val="5F971D3F"/>
    <w:rsid w:val="60902F27"/>
    <w:rsid w:val="638B0A58"/>
    <w:rsid w:val="65751CAB"/>
    <w:rsid w:val="6D2B66FB"/>
    <w:rsid w:val="6FF8042E"/>
    <w:rsid w:val="71CF4C93"/>
    <w:rsid w:val="7C981BBF"/>
    <w:rsid w:val="7CC2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7733</Words>
  <Characters>8447</Characters>
  <Lines>0</Lines>
  <Paragraphs>0</Paragraphs>
  <TotalTime>2</TotalTime>
  <ScaleCrop>false</ScaleCrop>
  <LinksUpToDate>false</LinksUpToDate>
  <CharactersWithSpaces>8557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2025-03-17T13:13:00Z</dcterms:created>
  <dc:creator>张立洁</dc:creator>
  <cp:lastModifiedBy>俱永超</cp:lastModifiedBy>
  <dcterms:modified xsi:type="dcterms:W3CDTF">2026-04-14T02:32:42Z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8F555DBE7B35488C93530849699F6483_11</vt:lpwstr>
  </property>
  <property fmtid="{D5CDD505-2E9C-101B-9397-08002B2CF9AE}" pid="4" name="KSOTemplateDocerSaveRecord">
    <vt:lpwstr>eyJoZGlkIjoiZWY5NmYzMjc4M2Y5NzA2OWUxYWI5NWVjY2NhNzdiNTIiLCJ1c2VySWQiOiIxNDg5MzAwNjM2In0=</vt:lpwstr>
  </property>
</Properties>
</file>