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仿宋" w:hAnsi="仿宋" w:eastAsia="仿宋" w:cs="仿宋"/>
        </w:rPr>
      </w:pPr>
    </w:p>
    <w:p>
      <w:pPr>
        <w:pStyle w:val="2"/>
        <w:rPr>
          <w:rFonts w:hint="eastAsia" w:ascii="仿宋" w:hAnsi="仿宋" w:eastAsia="仿宋" w:cs="仿宋"/>
        </w:rPr>
      </w:pPr>
    </w:p>
    <w:p>
      <w:pPr>
        <w:pStyle w:val="2"/>
        <w:rPr>
          <w:rFonts w:hint="eastAsia" w:ascii="仿宋" w:hAnsi="仿宋" w:eastAsia="仿宋" w:cs="仿宋"/>
        </w:rPr>
      </w:pPr>
    </w:p>
    <w:p>
      <w:pPr>
        <w:pStyle w:val="2"/>
        <w:rPr>
          <w:rFonts w:hint="eastAsia" w:ascii="仿宋" w:hAnsi="仿宋" w:eastAsia="仿宋" w:cs="仿宋"/>
        </w:rPr>
      </w:pPr>
    </w:p>
    <w:p>
      <w:pPr>
        <w:pStyle w:val="2"/>
        <w:spacing w:line="241" w:lineRule="auto"/>
        <w:rPr>
          <w:rFonts w:hint="eastAsia" w:ascii="仿宋" w:hAnsi="仿宋" w:eastAsia="仿宋" w:cs="仿宋"/>
        </w:rPr>
      </w:pPr>
    </w:p>
    <w:p>
      <w:pPr>
        <w:spacing w:before="140" w:line="247" w:lineRule="auto"/>
        <w:ind w:left="1338" w:right="1307" w:firstLine="1"/>
        <w:jc w:val="center"/>
        <w:outlineLvl w:val="0"/>
        <w:rPr>
          <w:rFonts w:hint="eastAsia" w:ascii="仿宋" w:hAnsi="仿宋" w:eastAsia="仿宋" w:cs="仿宋"/>
          <w:spacing w:val="7"/>
          <w:sz w:val="43"/>
          <w:szCs w:val="43"/>
          <w:lang w:eastAsia="zh-CN"/>
        </w:rPr>
      </w:pPr>
      <w:r>
        <w:rPr>
          <w:rFonts w:hint="eastAsia" w:ascii="仿宋" w:hAnsi="仿宋" w:eastAsia="仿宋" w:cs="仿宋"/>
          <w:spacing w:val="7"/>
          <w:sz w:val="43"/>
          <w:szCs w:val="43"/>
        </w:rPr>
        <w:t>东兴</w:t>
      </w:r>
      <w:r>
        <w:rPr>
          <w:rFonts w:hint="eastAsia" w:ascii="仿宋" w:hAnsi="仿宋" w:eastAsia="仿宋" w:cs="仿宋"/>
          <w:spacing w:val="7"/>
          <w:sz w:val="43"/>
          <w:szCs w:val="43"/>
          <w:lang w:eastAsia="zh-CN"/>
        </w:rPr>
        <w:t>铝业嘉峪关分公司</w:t>
      </w:r>
    </w:p>
    <w:p>
      <w:pPr>
        <w:spacing w:before="140" w:line="247" w:lineRule="auto"/>
        <w:ind w:left="1338" w:right="1307" w:firstLine="1"/>
        <w:outlineLvl w:val="0"/>
        <w:rPr>
          <w:rFonts w:hint="eastAsia" w:ascii="仿宋" w:hAnsi="仿宋" w:eastAsia="仿宋" w:cs="仿宋"/>
          <w:sz w:val="43"/>
          <w:szCs w:val="43"/>
        </w:rPr>
      </w:pPr>
      <w:r>
        <w:rPr>
          <w:rFonts w:hint="eastAsia" w:ascii="仿宋" w:hAnsi="仿宋" w:eastAsia="仿宋" w:cs="仿宋"/>
          <w:spacing w:val="7"/>
          <w:sz w:val="43"/>
          <w:szCs w:val="43"/>
        </w:rPr>
        <w:t>铝合金元素添加剂技术规格书</w:t>
      </w: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5" w:lineRule="auto"/>
        <w:rPr>
          <w:rFonts w:hint="eastAsia" w:ascii="仿宋" w:hAnsi="仿宋" w:eastAsia="仿宋" w:cs="仿宋"/>
        </w:rPr>
      </w:pPr>
    </w:p>
    <w:p>
      <w:pPr>
        <w:pStyle w:val="2"/>
        <w:spacing w:line="246" w:lineRule="auto"/>
        <w:rPr>
          <w:rFonts w:hint="eastAsia" w:ascii="仿宋" w:hAnsi="仿宋" w:eastAsia="仿宋" w:cs="仿宋"/>
        </w:rPr>
      </w:pPr>
    </w:p>
    <w:p>
      <w:pPr>
        <w:pStyle w:val="2"/>
        <w:spacing w:line="246" w:lineRule="auto"/>
        <w:rPr>
          <w:rFonts w:hint="eastAsia" w:ascii="仿宋" w:hAnsi="仿宋" w:eastAsia="仿宋" w:cs="仿宋"/>
        </w:rPr>
      </w:pPr>
    </w:p>
    <w:p>
      <w:pPr>
        <w:pStyle w:val="2"/>
        <w:spacing w:line="246" w:lineRule="auto"/>
        <w:rPr>
          <w:rFonts w:hint="eastAsia" w:ascii="仿宋" w:hAnsi="仿宋" w:eastAsia="仿宋" w:cs="仿宋"/>
        </w:rPr>
      </w:pPr>
    </w:p>
    <w:p>
      <w:pPr>
        <w:pStyle w:val="2"/>
        <w:spacing w:line="246" w:lineRule="auto"/>
        <w:rPr>
          <w:rFonts w:hint="eastAsia" w:ascii="仿宋" w:hAnsi="仿宋" w:eastAsia="仿宋" w:cs="仿宋"/>
        </w:rPr>
      </w:pPr>
    </w:p>
    <w:p>
      <w:pPr>
        <w:spacing w:before="101" w:line="228" w:lineRule="auto"/>
        <w:ind w:left="1637" w:firstLine="320" w:firstLineChars="100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5"/>
          <w:sz w:val="31"/>
          <w:szCs w:val="31"/>
        </w:rPr>
        <w:t>技术规格书编号：</w:t>
      </w:r>
    </w:p>
    <w:p>
      <w:pPr>
        <w:pStyle w:val="2"/>
        <w:spacing w:line="249" w:lineRule="auto"/>
        <w:rPr>
          <w:rFonts w:hint="eastAsia" w:ascii="仿宋" w:hAnsi="仿宋" w:eastAsia="仿宋" w:cs="仿宋"/>
        </w:rPr>
      </w:pPr>
    </w:p>
    <w:p>
      <w:pPr>
        <w:pStyle w:val="2"/>
        <w:spacing w:line="249" w:lineRule="auto"/>
        <w:rPr>
          <w:rFonts w:hint="eastAsia" w:ascii="仿宋" w:hAnsi="仿宋" w:eastAsia="仿宋" w:cs="仿宋"/>
        </w:rPr>
      </w:pPr>
    </w:p>
    <w:p>
      <w:pPr>
        <w:pStyle w:val="2"/>
        <w:spacing w:line="249" w:lineRule="auto"/>
        <w:rPr>
          <w:rFonts w:hint="eastAsia" w:ascii="仿宋" w:hAnsi="仿宋" w:eastAsia="仿宋" w:cs="仿宋"/>
        </w:rPr>
      </w:pPr>
    </w:p>
    <w:p>
      <w:pPr>
        <w:pStyle w:val="2"/>
        <w:spacing w:line="249" w:lineRule="auto"/>
        <w:rPr>
          <w:rFonts w:hint="eastAsia" w:ascii="仿宋" w:hAnsi="仿宋" w:eastAsia="仿宋" w:cs="仿宋"/>
        </w:rPr>
      </w:pPr>
    </w:p>
    <w:p>
      <w:pPr>
        <w:pStyle w:val="2"/>
        <w:spacing w:line="249" w:lineRule="auto"/>
        <w:rPr>
          <w:rFonts w:hint="eastAsia" w:ascii="仿宋" w:hAnsi="仿宋" w:eastAsia="仿宋" w:cs="仿宋"/>
        </w:rPr>
      </w:pPr>
    </w:p>
    <w:p>
      <w:pPr>
        <w:pStyle w:val="2"/>
        <w:spacing w:line="249" w:lineRule="auto"/>
        <w:rPr>
          <w:rFonts w:hint="eastAsia" w:ascii="仿宋" w:hAnsi="仿宋" w:eastAsia="仿宋" w:cs="仿宋"/>
        </w:rPr>
      </w:pPr>
    </w:p>
    <w:p>
      <w:pPr>
        <w:pStyle w:val="2"/>
        <w:spacing w:line="249" w:lineRule="auto"/>
        <w:rPr>
          <w:rFonts w:hint="eastAsia" w:ascii="仿宋" w:hAnsi="仿宋" w:eastAsia="仿宋" w:cs="仿宋"/>
        </w:rPr>
      </w:pPr>
    </w:p>
    <w:p>
      <w:pPr>
        <w:pStyle w:val="2"/>
        <w:spacing w:line="249" w:lineRule="auto"/>
        <w:rPr>
          <w:rFonts w:hint="eastAsia" w:ascii="仿宋" w:hAnsi="仿宋" w:eastAsia="仿宋" w:cs="仿宋"/>
        </w:rPr>
      </w:pPr>
    </w:p>
    <w:p>
      <w:pPr>
        <w:pStyle w:val="2"/>
        <w:spacing w:line="250" w:lineRule="auto"/>
        <w:rPr>
          <w:rFonts w:hint="eastAsia" w:ascii="仿宋" w:hAnsi="仿宋" w:eastAsia="仿宋" w:cs="仿宋"/>
        </w:rPr>
      </w:pPr>
    </w:p>
    <w:p>
      <w:pPr>
        <w:pStyle w:val="2"/>
        <w:spacing w:line="250" w:lineRule="auto"/>
        <w:rPr>
          <w:rFonts w:hint="eastAsia" w:ascii="仿宋" w:hAnsi="仿宋" w:eastAsia="仿宋" w:cs="仿宋"/>
        </w:rPr>
      </w:pPr>
    </w:p>
    <w:p>
      <w:pPr>
        <w:spacing w:before="101" w:line="357" w:lineRule="auto"/>
        <w:ind w:left="1336" w:right="1921" w:firstLine="19"/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5"/>
          <w:sz w:val="31"/>
          <w:szCs w:val="31"/>
        </w:rPr>
        <w:t>甲方：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东兴铝业嘉峪关分公司</w:t>
      </w:r>
    </w:p>
    <w:p>
      <w:pPr>
        <w:spacing w:before="101" w:line="357" w:lineRule="auto"/>
        <w:ind w:left="1336" w:right="1921" w:firstLine="19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-9"/>
          <w:sz w:val="31"/>
          <w:szCs w:val="31"/>
        </w:rPr>
        <w:t>乙方：</w:t>
      </w:r>
    </w:p>
    <w:p>
      <w:pPr>
        <w:spacing w:line="357" w:lineRule="auto"/>
        <w:rPr>
          <w:rFonts w:hint="eastAsia" w:ascii="仿宋" w:hAnsi="仿宋" w:eastAsia="仿宋" w:cs="仿宋"/>
          <w:sz w:val="31"/>
          <w:szCs w:val="31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before="181" w:line="223" w:lineRule="auto"/>
        <w:ind w:left="1390"/>
        <w:outlineLvl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19"/>
          <w:sz w:val="28"/>
          <w:szCs w:val="28"/>
        </w:rPr>
        <w:t>1</w:t>
      </w:r>
      <w:r>
        <w:rPr>
          <w:rFonts w:hint="eastAsia" w:ascii="仿宋" w:hAnsi="仿宋" w:eastAsia="仿宋" w:cs="仿宋"/>
          <w:spacing w:val="1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-19"/>
          <w:sz w:val="28"/>
          <w:szCs w:val="28"/>
        </w:rPr>
        <w:t>概述</w:t>
      </w:r>
    </w:p>
    <w:p>
      <w:pPr>
        <w:spacing w:before="285" w:line="222" w:lineRule="auto"/>
        <w:ind w:left="197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甲方向乙方采购的铝合金元素添加剂事宜中有关物资的供货要</w:t>
      </w:r>
    </w:p>
    <w:p>
      <w:pPr>
        <w:spacing w:before="287" w:line="222" w:lineRule="auto"/>
        <w:ind w:left="138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求、技术标准等都已进行了充分讨论，经双方友好协商达成协议。</w:t>
      </w:r>
    </w:p>
    <w:p>
      <w:pPr>
        <w:spacing w:before="156" w:line="218" w:lineRule="auto"/>
        <w:ind w:left="138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10"/>
          <w:sz w:val="28"/>
          <w:szCs w:val="28"/>
        </w:rPr>
        <w:t>2</w:t>
      </w:r>
      <w:r>
        <w:rPr>
          <w:rFonts w:hint="eastAsia"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-10"/>
          <w:sz w:val="28"/>
          <w:szCs w:val="28"/>
        </w:rPr>
        <w:t>技术指标</w:t>
      </w:r>
    </w:p>
    <w:p>
      <w:pPr>
        <w:spacing w:before="215" w:line="311" w:lineRule="auto"/>
        <w:ind w:left="5309" w:right="3371" w:hanging="3369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8"/>
          <w:szCs w:val="28"/>
        </w:rPr>
        <w:t>2.1</w:t>
      </w:r>
      <w:r>
        <w:rPr>
          <w:rFonts w:hint="eastAsia" w:ascii="仿宋" w:hAnsi="仿宋" w:eastAsia="仿宋" w:cs="仿宋"/>
          <w:spacing w:val="-3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9"/>
          <w:sz w:val="28"/>
          <w:szCs w:val="28"/>
        </w:rPr>
        <w:t>添加剂的主要化学成分应符合表</w:t>
      </w:r>
      <w:r>
        <w:rPr>
          <w:rFonts w:hint="eastAsia" w:ascii="仿宋" w:hAnsi="仿宋" w:eastAsia="仿宋" w:cs="仿宋"/>
          <w:spacing w:val="-4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9"/>
          <w:sz w:val="28"/>
          <w:szCs w:val="28"/>
        </w:rPr>
        <w:t>1</w:t>
      </w:r>
      <w:r>
        <w:rPr>
          <w:rFonts w:hint="eastAsia"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9"/>
          <w:sz w:val="28"/>
          <w:szCs w:val="28"/>
        </w:rPr>
        <w:t>的规定：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表</w:t>
      </w:r>
      <w:r>
        <w:rPr>
          <w:rFonts w:hint="eastAsia" w:ascii="仿宋" w:hAnsi="仿宋" w:eastAsia="仿宋" w:cs="仿宋"/>
          <w:spacing w:val="-36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1</w:t>
      </w:r>
    </w:p>
    <w:tbl>
      <w:tblPr>
        <w:tblStyle w:val="5"/>
        <w:tblW w:w="967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7"/>
        <w:gridCol w:w="946"/>
        <w:gridCol w:w="704"/>
        <w:gridCol w:w="853"/>
        <w:gridCol w:w="758"/>
        <w:gridCol w:w="866"/>
        <w:gridCol w:w="772"/>
        <w:gridCol w:w="745"/>
        <w:gridCol w:w="959"/>
        <w:gridCol w:w="945"/>
        <w:gridCol w:w="14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69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Fe/%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Mn/%</w:t>
            </w:r>
          </w:p>
        </w:tc>
        <w:tc>
          <w:tcPr>
            <w:tcW w:w="8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Cu/%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Ti/%</w:t>
            </w:r>
          </w:p>
        </w:tc>
        <w:tc>
          <w:tcPr>
            <w:tcW w:w="8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Si/%</w:t>
            </w:r>
          </w:p>
        </w:tc>
        <w:tc>
          <w:tcPr>
            <w:tcW w:w="7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Cr/%</w:t>
            </w:r>
          </w:p>
        </w:tc>
        <w:tc>
          <w:tcPr>
            <w:tcW w:w="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Zn/%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水分/%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密度</w:t>
            </w:r>
            <w:r>
              <w:rPr>
                <w:rStyle w:val="7"/>
                <w:snapToGrid w:val="0"/>
                <w:color w:val="000000"/>
                <w:lang w:val="en-US" w:eastAsia="zh-CN" w:bidi="ar"/>
              </w:rPr>
              <w:t xml:space="preserve">  /g/mm3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每块重量/g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697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铁剂</w:t>
            </w: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75±2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≤0.15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≥3.7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500/1000±5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69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80±2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≤0.15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≥3.7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500/1000±5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69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85±2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≤0.15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≥3.7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500/1000±5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69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90±2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≤0.15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≥3.7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500/1000±5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940"/>
        <w:textAlignment w:val="baseline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2.2 根据</w:t>
      </w:r>
      <w:r>
        <w:rPr>
          <w:rFonts w:hint="eastAsia" w:ascii="仿宋" w:hAnsi="仿宋" w:eastAsia="仿宋" w:cs="仿宋"/>
          <w:spacing w:val="-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YS/T 492-2012《铝及铝合金成分添加剂》中华人民共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368" w:right="1359" w:firstLine="8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>和国有色金属行业标准中第</w:t>
      </w:r>
      <w:r>
        <w:rPr>
          <w:rFonts w:hint="eastAsia"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4.2</w:t>
      </w:r>
      <w:r>
        <w:rPr>
          <w:rFonts w:hint="eastAsia"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条中“添加剂中除纯金属以外的添加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物质中不允许使用容易使铝及铝合金吸收的</w:t>
      </w:r>
      <w:r>
        <w:rPr>
          <w:rFonts w:hint="eastAsia"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Na、Li、Sr</w:t>
      </w:r>
      <w:r>
        <w:rPr>
          <w:rFonts w:hint="eastAsia"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等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元素” 的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标准规定，元素添加剂中不得含有除主元素外其它导致成分异常变化</w:t>
      </w:r>
      <w:r>
        <w:rPr>
          <w:rFonts w:hint="eastAsia"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的其它金属或非金属元素。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940"/>
        <w:textAlignment w:val="baseline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8"/>
          <w:sz w:val="28"/>
          <w:szCs w:val="28"/>
        </w:rPr>
        <w:t>2.3</w:t>
      </w:r>
      <w:r>
        <w:rPr>
          <w:rFonts w:hint="eastAsia" w:ascii="仿宋" w:hAnsi="仿宋" w:eastAsia="仿宋" w:cs="仿宋"/>
          <w:spacing w:val="-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8"/>
          <w:sz w:val="28"/>
          <w:szCs w:val="28"/>
        </w:rPr>
        <w:t>实收率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940"/>
        <w:textAlignment w:val="baseline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2.3.1 乙方所供添加剂，在甲方固定工艺条件下，钛剂、铜剂、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372" w:right="1359" w:hanging="4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>铬剂、锌剂的平均实收率（10</w:t>
      </w:r>
      <w:r>
        <w:rPr>
          <w:rFonts w:hint="eastAsia"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炉次以上）必须在</w:t>
      </w:r>
      <w:r>
        <w:rPr>
          <w:rFonts w:hint="eastAsia"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90%以上；其他铝合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金金属添加剂平均实收率（</w:t>
      </w:r>
      <w:r>
        <w:rPr>
          <w:rFonts w:hint="eastAsia" w:ascii="仿宋" w:hAnsi="仿宋" w:eastAsia="仿宋" w:cs="仿宋"/>
          <w:spacing w:val="-7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10</w:t>
      </w:r>
      <w:r>
        <w:rPr>
          <w:rFonts w:hint="eastAsia"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炉次以上）必须在</w:t>
      </w:r>
      <w:r>
        <w:rPr>
          <w:rFonts w:hint="eastAsia" w:ascii="仿宋" w:hAnsi="仿宋" w:eastAsia="仿宋" w:cs="仿宋"/>
          <w:spacing w:val="-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95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%以上。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940"/>
        <w:textAlignment w:val="baseline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2.3.2</w:t>
      </w:r>
      <w:r>
        <w:rPr>
          <w:rFonts w:hint="eastAsia" w:ascii="仿宋" w:hAnsi="仿宋" w:eastAsia="仿宋" w:cs="仿宋"/>
          <w:spacing w:val="-3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实收率的检测方法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28"/>
          <w:szCs w:val="28"/>
        </w:rPr>
        <w:sectPr>
          <w:pgSz w:w="11906" w:h="16839"/>
          <w:pgMar w:top="1431" w:right="440" w:bottom="0" w:left="440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4" w:right="138" w:firstLine="56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"2.3.2.1"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pacing w:val="-2"/>
          <w:sz w:val="28"/>
          <w:szCs w:val="28"/>
        </w:rPr>
        <w:t>2.3.2.1</w:t>
      </w:r>
      <w:r>
        <w:rPr>
          <w:rFonts w:hint="eastAsia" w:ascii="仿宋" w:hAnsi="仿宋" w:eastAsia="仿宋" w:cs="仿宋"/>
          <w:spacing w:val="-2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pacing w:val="-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实收率指熔炼某种合金时加入所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需添加剂后，添加剂中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纯金属熔于合金的数量与添加剂中纯金属的总量的百分数。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5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"2.3.2.2"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pacing w:val="-3"/>
          <w:sz w:val="28"/>
          <w:szCs w:val="28"/>
        </w:rPr>
        <w:t>2.3.2.2</w:t>
      </w:r>
      <w:r>
        <w:rPr>
          <w:rFonts w:hint="eastAsia" w:ascii="仿宋" w:hAnsi="仿宋" w:eastAsia="仿宋" w:cs="仿宋"/>
          <w:spacing w:val="-3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熔化温度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22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>乙方所供添加剂，在甲方固定工艺条件下，配料静置反应溶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解时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4"/>
        <w:textAlignment w:val="baseline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间不得超过</w:t>
      </w:r>
      <w:r>
        <w:rPr>
          <w:rFonts w:hint="eastAsia"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30</w:t>
      </w:r>
      <w:r>
        <w:rPr>
          <w:rFonts w:hint="eastAsia"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分钟；添加剂在</w:t>
      </w:r>
      <w:r>
        <w:rPr>
          <w:rFonts w:hint="eastAsia"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720-750℃的熔体温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度下必须保证全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5" w:right="138" w:hanging="1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部熔化，其余未规定的标准，参照</w:t>
      </w:r>
      <w:r>
        <w:rPr>
          <w:rFonts w:hint="eastAsia"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YS/T 492-20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12《铝及铝合金成分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添加剂》执行。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5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"2.3.2.3"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pacing w:val="-4"/>
          <w:sz w:val="28"/>
          <w:szCs w:val="28"/>
        </w:rPr>
        <w:t>2.3.2.3</w:t>
      </w:r>
      <w:r>
        <w:rPr>
          <w:rFonts w:hint="eastAsia" w:ascii="仿宋" w:hAnsi="仿宋" w:eastAsia="仿宋" w:cs="仿宋"/>
          <w:spacing w:val="-4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添加方法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7" w:right="138" w:firstLine="56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将需要加入的添加剂，在保证熔体温度不低于</w:t>
      </w:r>
      <w:r>
        <w:rPr>
          <w:rFonts w:hint="eastAsia" w:ascii="仿宋" w:hAnsi="仿宋" w:eastAsia="仿宋" w:cs="仿宋"/>
          <w:spacing w:val="-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720℃条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件下，人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工加入到熔体中，静置</w:t>
      </w:r>
      <w:r>
        <w:rPr>
          <w:rFonts w:hint="eastAsia" w:ascii="仿宋" w:hAnsi="仿宋" w:eastAsia="仿宋" w:cs="仿宋"/>
          <w:spacing w:val="-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20-30min，均匀搅拌后，取样分析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所加入的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金属含量。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5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"2.3.2.4"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pacing w:val="-3"/>
          <w:sz w:val="28"/>
          <w:szCs w:val="28"/>
        </w:rPr>
        <w:t>2.3.2.4</w:t>
      </w:r>
      <w:r>
        <w:rPr>
          <w:rFonts w:hint="eastAsia" w:ascii="仿宋" w:hAnsi="仿宋" w:eastAsia="仿宋" w:cs="仿宋"/>
          <w:spacing w:val="-3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结果的表示和计算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6" w:right="138" w:firstLine="566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测算实收率时熔炼炉不允许添加合金废料，只允许添加铝锭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及电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解铝液。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0" w:firstLine="545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钛、铜、铬、锌：试验时测算实收率=装炉量（铝锭及电解铝液）</w:t>
      </w:r>
      <w:r>
        <w:rPr>
          <w:rFonts w:hint="eastAsia" w:ascii="仿宋" w:hAnsi="仿宋" w:eastAsia="仿宋" w:cs="仿宋"/>
          <w:spacing w:val="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*目标元素含量（指配料后元素含量）/加入的目标添加剂量/75%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5" w:right="184" w:firstLine="562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铁、锰、75</w:t>
      </w:r>
      <w:r>
        <w:rPr>
          <w:rFonts w:hint="eastAsia" w:ascii="仿宋" w:hAnsi="仿宋" w:eastAsia="仿宋" w:cs="仿宋"/>
          <w:spacing w:val="-6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锰+10</w:t>
      </w:r>
      <w:r>
        <w:rPr>
          <w:rFonts w:hint="eastAsia"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铁、速溶硅、工业硅：试验时测算实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收率=装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炉量*（</w:t>
      </w:r>
      <w:r>
        <w:rPr>
          <w:rFonts w:hint="eastAsia"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目标元素配料后含量-目标元素初始原样值）/加入的目标添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加剂量/添加剂理论元素含量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5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>2.4</w:t>
      </w:r>
      <w:r>
        <w:rPr>
          <w:rFonts w:hint="eastAsia" w:ascii="仿宋" w:hAnsi="仿宋" w:eastAsia="仿宋" w:cs="仿宋"/>
          <w:spacing w:val="-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外观质量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7" w:right="138" w:firstLine="547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进入公司的铝及铝合金元素添加剂要求包装完好，添加剂不允许</w:t>
      </w:r>
      <w:r>
        <w:rPr>
          <w:rFonts w:hint="eastAsia" w:ascii="仿宋" w:hAnsi="仿宋" w:eastAsia="仿宋" w:cs="仿宋"/>
          <w:spacing w:val="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8"/>
          <w:sz w:val="28"/>
          <w:szCs w:val="28"/>
        </w:rPr>
        <w:t>潮解。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5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>2.5</w:t>
      </w:r>
      <w:r>
        <w:rPr>
          <w:rFonts w:hint="eastAsia"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质量保证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1" w:right="138" w:firstLine="563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2.5.1 乙方所供添加剂，在甲方固定工艺条件下使用，在后续质</w:t>
      </w:r>
      <w:r>
        <w:rPr>
          <w:rFonts w:hint="eastAsia"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量检测过程中，不得因添加剂的质量缺陷造成普通板材在后续轧制过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28"/>
          <w:szCs w:val="28"/>
        </w:rPr>
        <w:sectPr>
          <w:pgSz w:w="11906" w:h="16839"/>
          <w:pgMar w:top="1425" w:right="1660" w:bottom="0" w:left="1785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8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程中出现偏析等质量缺陷；单零铝箔轧制到</w:t>
      </w:r>
      <w:r>
        <w:rPr>
          <w:rFonts w:hint="eastAsia" w:ascii="仿宋" w:hAnsi="仿宋" w:eastAsia="仿宋" w:cs="仿宋"/>
          <w:spacing w:val="-3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0.01mm</w:t>
      </w:r>
      <w:r>
        <w:rPr>
          <w:rFonts w:hint="eastAsia"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厚度出现偏析、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right"/>
        <w:textAlignment w:val="baseline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>孔洞等质量缺陷；双零铝箔轧制到</w:t>
      </w:r>
      <w:r>
        <w:rPr>
          <w:rFonts w:hint="eastAsia" w:ascii="仿宋" w:hAnsi="仿宋" w:eastAsia="仿宋" w:cs="仿宋"/>
          <w:spacing w:val="-3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0.006mm</w:t>
      </w:r>
      <w:r>
        <w:rPr>
          <w:rFonts w:hint="eastAsia" w:ascii="仿宋" w:hAnsi="仿宋" w:eastAsia="仿宋" w:cs="仿宋"/>
          <w:spacing w:val="-5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厚度针孔大于</w:t>
      </w:r>
      <w:r>
        <w:rPr>
          <w:rFonts w:hint="eastAsia"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500</w:t>
      </w:r>
      <w:r>
        <w:rPr>
          <w:rFonts w:hint="eastAsia"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个/m</w:t>
      </w:r>
      <w:r>
        <w:rPr>
          <w:rFonts w:hint="eastAsia" w:ascii="仿宋" w:hAnsi="仿宋" w:eastAsia="仿宋" w:cs="仿宋"/>
          <w:spacing w:val="-5"/>
          <w:position w:val="14"/>
          <w:sz w:val="13"/>
          <w:szCs w:val="13"/>
        </w:rPr>
        <w:t>2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9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板面偏析、孔洞等质量缺陷。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6" w:right="87" w:firstLine="569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2.5.2 乙方所提供的添加剂，在甲方正常工艺使用期间的烟气排</w:t>
      </w:r>
      <w:r>
        <w:rPr>
          <w:rFonts w:hint="eastAsia"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放不得超出国家和地方环保排放标准。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6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8"/>
          <w:sz w:val="28"/>
          <w:szCs w:val="28"/>
        </w:rPr>
        <w:t>3</w:t>
      </w:r>
      <w:r>
        <w:rPr>
          <w:rFonts w:hint="eastAsia" w:ascii="仿宋" w:hAnsi="仿宋" w:eastAsia="仿宋" w:cs="仿宋"/>
          <w:spacing w:val="-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-8"/>
          <w:sz w:val="28"/>
          <w:szCs w:val="28"/>
        </w:rPr>
        <w:t>检验方法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5" w:right="86" w:firstLine="581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3.1 添加剂目标元素含量、水分、密度、实收率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等项目检测按照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YS/T492—2021</w:t>
      </w:r>
      <w:r>
        <w:rPr>
          <w:rFonts w:hint="eastAsia"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执行。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06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3.2 添加剂外观质量用目视法检查。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4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8"/>
          <w:sz w:val="28"/>
          <w:szCs w:val="28"/>
        </w:rPr>
        <w:t>4</w:t>
      </w:r>
      <w:r>
        <w:rPr>
          <w:rFonts w:hint="eastAsia" w:ascii="仿宋" w:hAnsi="仿宋" w:eastAsia="仿宋" w:cs="仿宋"/>
          <w:spacing w:val="-6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-8"/>
          <w:sz w:val="28"/>
          <w:szCs w:val="28"/>
        </w:rPr>
        <w:t>检验规则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4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4.1 检验和验收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1" w:right="87" w:firstLine="562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4.1.1</w:t>
      </w:r>
      <w:r>
        <w:rPr>
          <w:rFonts w:hint="eastAsia" w:ascii="仿宋" w:hAnsi="仿宋" w:eastAsia="仿宋" w:cs="仿宋"/>
          <w:spacing w:val="-5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添加剂应由乙方进行检验，保证产品质量符合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本标准和订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单（或合同）的规定，并填写质量证明书。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0" w:right="86" w:firstLine="553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4.1.2 甲方应对收到的产品按本标准的规定进行检验，检验结果</w:t>
      </w:r>
      <w:r>
        <w:rPr>
          <w:rFonts w:hint="eastAsia"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与本标准及订货合同的规定不符时，应以书面形式向乙方提出，由甲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乙双方协商解决。如需仲裁，可委托甲乙双方认可的单位进行，并在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甲方共同取样。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8" w:right="67" w:firstLine="565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4.1.3</w:t>
      </w:r>
      <w:r>
        <w:rPr>
          <w:rFonts w:hint="eastAsia" w:ascii="仿宋" w:hAnsi="仿宋" w:eastAsia="仿宋" w:cs="仿宋"/>
          <w:spacing w:val="-5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化验（检验）结果合格，允许入库；化验（检验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）结果不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合格，需双倍取样，双倍取样合格，判定该批产品合格，允许入库；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双倍取样不合格时，判定该批产品不合格，反馈供应商。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4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>4.2</w:t>
      </w:r>
      <w:r>
        <w:rPr>
          <w:rFonts w:hint="eastAsia" w:ascii="仿宋" w:hAnsi="仿宋" w:eastAsia="仿宋" w:cs="仿宋"/>
          <w:spacing w:val="-5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组批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8" w:right="87" w:firstLine="566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添加剂应成批提交验收，每批应由同一牌号、规格组成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；每个混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合容器的生产量为一个批次。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4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8"/>
          <w:sz w:val="28"/>
          <w:szCs w:val="28"/>
        </w:rPr>
        <w:t>4.3</w:t>
      </w:r>
      <w:r>
        <w:rPr>
          <w:rFonts w:hint="eastAsia" w:ascii="仿宋" w:hAnsi="仿宋" w:eastAsia="仿宋" w:cs="仿宋"/>
          <w:spacing w:val="-5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8"/>
          <w:sz w:val="28"/>
          <w:szCs w:val="28"/>
        </w:rPr>
        <w:t>计重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产品应按斤或千克计重。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28"/>
          <w:szCs w:val="28"/>
        </w:rPr>
        <w:sectPr>
          <w:pgSz w:w="11906" w:h="16839"/>
          <w:pgMar w:top="1425" w:right="1712" w:bottom="0" w:left="1785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4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4.4</w:t>
      </w:r>
      <w:r>
        <w:rPr>
          <w:rFonts w:hint="eastAsia" w:ascii="仿宋" w:hAnsi="仿宋" w:eastAsia="仿宋" w:cs="仿宋"/>
          <w:spacing w:val="-6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检验项目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5" w:right="13" w:firstLine="559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每批产品出厂前进行化学成分、密度、水分、外观、断口组织检</w:t>
      </w:r>
      <w:r>
        <w:rPr>
          <w:rFonts w:hint="eastAsia" w:ascii="仿宋" w:hAnsi="仿宋" w:eastAsia="仿宋" w:cs="仿宋"/>
          <w:spacing w:val="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查，关于实收率的检验可以按季度抽查或工艺保证。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4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>4.5</w:t>
      </w:r>
      <w:r>
        <w:rPr>
          <w:rFonts w:hint="eastAsia" w:ascii="仿宋" w:hAnsi="仿宋" w:eastAsia="仿宋" w:cs="仿宋"/>
          <w:spacing w:val="-5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取样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3" w:right="13" w:firstLine="554"/>
        <w:textAlignment w:val="baseline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pacing w:val="-4"/>
          <w:sz w:val="28"/>
          <w:szCs w:val="28"/>
          <w:highlight w:val="none"/>
        </w:rPr>
        <w:t>铝合金元素添加剂交货时，以箱为单位，以车为批次，采样数量为每批次随机两个托盘各取</w:t>
      </w:r>
      <w:r>
        <w:rPr>
          <w:rFonts w:hint="eastAsia" w:ascii="仿宋" w:hAnsi="仿宋" w:eastAsia="仿宋" w:cs="仿宋"/>
          <w:spacing w:val="-24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  <w:highlight w:val="none"/>
        </w:rPr>
        <w:t>1</w:t>
      </w:r>
      <w:r>
        <w:rPr>
          <w:rFonts w:hint="eastAsia" w:ascii="仿宋" w:hAnsi="仿宋" w:eastAsia="仿宋" w:cs="仿宋"/>
          <w:spacing w:val="-56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  <w:highlight w:val="none"/>
        </w:rPr>
        <w:t>个样用于检验。</w:t>
      </w:r>
      <w:r>
        <w:rPr>
          <w:rFonts w:hint="eastAsia" w:ascii="仿宋" w:hAnsi="仿宋" w:eastAsia="仿宋" w:cs="仿宋"/>
          <w:spacing w:val="-4"/>
          <w:sz w:val="28"/>
          <w:szCs w:val="28"/>
          <w:highlight w:val="none"/>
          <w:lang w:eastAsia="zh-CN"/>
        </w:rPr>
        <w:t>检验结果以东兴嘉宇新材料有限公司出具的检验结果为准。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4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4.6</w:t>
      </w:r>
      <w:r>
        <w:rPr>
          <w:rFonts w:hint="eastAsia" w:ascii="仿宋" w:hAnsi="仿宋" w:eastAsia="仿宋" w:cs="仿宋"/>
          <w:spacing w:val="-6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检验结果的判定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1" w:right="13" w:firstLine="562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4.6.1</w:t>
      </w:r>
      <w:r>
        <w:rPr>
          <w:rFonts w:hint="eastAsia"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所有进厂的铝及铝合金元素添加剂，必须附有产品合格证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和产品质量证明书，否则仓库要拒收。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8" w:right="13" w:firstLine="565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4.6.2</w:t>
      </w:r>
      <w:r>
        <w:rPr>
          <w:rFonts w:hint="eastAsia" w:ascii="仿宋" w:hAnsi="仿宋" w:eastAsia="仿宋" w:cs="仿宋"/>
          <w:spacing w:val="-5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有任一试样化学成分不合格时，产品能区分批次的判该试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样代表的批次不合格，其他批次以此验收，合格者交货。不能区分批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次的判该批不合格。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2" w:right="13" w:firstLine="571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4.6.3</w:t>
      </w:r>
      <w:r>
        <w:rPr>
          <w:rFonts w:hint="eastAsia"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仓储管理人员要检查所有材料的包装，要求包装完好，如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果发现包装破损，要通知技术部门进行确认是否影响使用；铝及铝合</w:t>
      </w:r>
      <w:r>
        <w:rPr>
          <w:rFonts w:hint="eastAsia"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金元素添加剂不允许存在肉眼可见的潮解或粉化现象，如果有此类现</w:t>
      </w:r>
      <w:r>
        <w:rPr>
          <w:rFonts w:hint="eastAsia"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象存在，判该批不合格，做退货处理。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3" w:right="13" w:firstLine="57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4.6.4 有任一试样的主元素含量、实收率、密度、水分检查不合</w:t>
      </w:r>
      <w:r>
        <w:rPr>
          <w:rFonts w:hint="eastAsia"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格时，应从该批产品中另取双倍数量的试样进行复检。若复检均为合</w:t>
      </w:r>
      <w:r>
        <w:rPr>
          <w:rFonts w:hint="eastAsia"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格，则该批次产品判定为合格；若复检样有一个不合格或全部不合格</w:t>
      </w:r>
      <w:r>
        <w:rPr>
          <w:rFonts w:hint="eastAsia"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时，则判定该批次产品为不合格。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4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4.6.5</w:t>
      </w:r>
      <w:r>
        <w:rPr>
          <w:rFonts w:hint="eastAsia" w:ascii="仿宋" w:hAnsi="仿宋" w:eastAsia="仿宋" w:cs="仿宋"/>
          <w:spacing w:val="-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主元素含量、实收率、密度不合格品处理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4" w:right="12" w:firstLine="579"/>
        <w:textAlignment w:val="baseline"/>
        <w:rPr>
          <w:rFonts w:hint="eastAsia" w:ascii="仿宋" w:hAnsi="仿宋" w:eastAsia="仿宋" w:cs="仿宋"/>
          <w:spacing w:val="1"/>
          <w:sz w:val="28"/>
          <w:szCs w:val="28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"4.6.5.1"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pacing w:val="1"/>
          <w:sz w:val="28"/>
          <w:szCs w:val="28"/>
        </w:rPr>
        <w:t>4.6.5.1</w:t>
      </w:r>
      <w:r>
        <w:rPr>
          <w:rFonts w:hint="eastAsia" w:ascii="仿宋" w:hAnsi="仿宋" w:eastAsia="仿宋" w:cs="仿宋"/>
          <w:spacing w:val="1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pacing w:val="1"/>
          <w:sz w:val="28"/>
          <w:szCs w:val="28"/>
        </w:rPr>
        <w:t xml:space="preserve"> 主元素含量</w:t>
      </w:r>
    </w:p>
    <w:tbl>
      <w:tblPr>
        <w:tblStyle w:val="3"/>
        <w:tblW w:w="381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3665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746" w:type="pct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主元素含量</w:t>
            </w:r>
          </w:p>
        </w:tc>
        <w:tc>
          <w:tcPr>
            <w:tcW w:w="230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±2%以外、 ± 5% （含）以内</w:t>
            </w:r>
          </w:p>
        </w:tc>
        <w:tc>
          <w:tcPr>
            <w:tcW w:w="194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± 5% 以外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746" w:type="pct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按照实际吸收率结算</w:t>
            </w:r>
          </w:p>
        </w:tc>
        <w:tc>
          <w:tcPr>
            <w:tcW w:w="194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退货</w:t>
            </w:r>
          </w:p>
        </w:tc>
      </w:tr>
    </w:tbl>
    <w:p>
      <w:pPr>
        <w:spacing w:before="219" w:line="311" w:lineRule="auto"/>
        <w:ind w:left="14" w:right="12" w:firstLine="579"/>
        <w:rPr>
          <w:rFonts w:hint="eastAsia" w:ascii="仿宋" w:hAnsi="仿宋" w:eastAsia="仿宋" w:cs="仿宋"/>
          <w:spacing w:val="1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pacing w:val="-3"/>
          <w:sz w:val="28"/>
          <w:szCs w:val="28"/>
        </w:rPr>
        <w:instrText xml:space="preserve"> HYPERLINK "4.6.5.2" </w:instrText>
      </w:r>
      <w:r>
        <w:rPr>
          <w:rFonts w:hint="eastAsia" w:ascii="仿宋" w:hAnsi="仿宋" w:eastAsia="仿宋" w:cs="仿宋"/>
          <w:spacing w:val="-3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pacing w:val="-3"/>
          <w:sz w:val="28"/>
          <w:szCs w:val="28"/>
        </w:rPr>
        <w:t>4.6.5.2</w:t>
      </w:r>
      <w:r>
        <w:rPr>
          <w:rFonts w:hint="eastAsia" w:ascii="仿宋" w:hAnsi="仿宋" w:eastAsia="仿宋" w:cs="仿宋"/>
          <w:spacing w:val="-3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"/>
          <w:sz w:val="28"/>
          <w:szCs w:val="28"/>
        </w:rPr>
        <w:t>密度</w:t>
      </w:r>
    </w:p>
    <w:tbl>
      <w:tblPr>
        <w:tblStyle w:val="3"/>
        <w:tblW w:w="37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3601"/>
        <w:gridCol w:w="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745" w:type="pct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密度</w:t>
            </w:r>
          </w:p>
        </w:tc>
        <w:tc>
          <w:tcPr>
            <w:tcW w:w="229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-0.2%（含）以内</w:t>
            </w:r>
          </w:p>
        </w:tc>
        <w:tc>
          <w:tcPr>
            <w:tcW w:w="19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0.2%（含）以外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45" w:type="pct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按照实际吸收率结算</w:t>
            </w:r>
          </w:p>
        </w:tc>
        <w:tc>
          <w:tcPr>
            <w:tcW w:w="19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退货</w:t>
            </w:r>
          </w:p>
        </w:tc>
      </w:tr>
    </w:tbl>
    <w:p>
      <w:pPr>
        <w:spacing w:before="219" w:line="311" w:lineRule="auto"/>
        <w:ind w:left="14" w:right="12" w:firstLine="579"/>
        <w:rPr>
          <w:rFonts w:hint="eastAsia" w:ascii="仿宋" w:hAnsi="仿宋" w:eastAsia="仿宋" w:cs="仿宋"/>
          <w:spacing w:val="1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pacing w:val="1"/>
          <w:sz w:val="28"/>
          <w:szCs w:val="28"/>
        </w:rPr>
        <w:instrText xml:space="preserve"> HYPERLINK "4.6.5.3" </w:instrText>
      </w:r>
      <w:r>
        <w:rPr>
          <w:rFonts w:hint="eastAsia" w:ascii="仿宋" w:hAnsi="仿宋" w:eastAsia="仿宋" w:cs="仿宋"/>
          <w:spacing w:val="1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pacing w:val="1"/>
          <w:sz w:val="28"/>
          <w:szCs w:val="28"/>
        </w:rPr>
        <w:t>4.6.5.3</w:t>
      </w:r>
      <w:r>
        <w:rPr>
          <w:rFonts w:hint="eastAsia" w:ascii="仿宋" w:hAnsi="仿宋" w:eastAsia="仿宋" w:cs="仿宋"/>
          <w:spacing w:val="1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pacing w:val="1"/>
          <w:sz w:val="28"/>
          <w:szCs w:val="28"/>
        </w:rPr>
        <w:t xml:space="preserve"> 实收率</w:t>
      </w:r>
    </w:p>
    <w:tbl>
      <w:tblPr>
        <w:tblStyle w:val="3"/>
        <w:tblW w:w="38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3623"/>
        <w:gridCol w:w="3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760" w:type="pct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实收率</w:t>
            </w:r>
          </w:p>
        </w:tc>
        <w:tc>
          <w:tcPr>
            <w:tcW w:w="227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-5%（含）以内</w:t>
            </w:r>
          </w:p>
        </w:tc>
        <w:tc>
          <w:tcPr>
            <w:tcW w:w="19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-5%以外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60" w:type="pct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7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按照实际吸收率结算</w:t>
            </w:r>
          </w:p>
        </w:tc>
        <w:tc>
          <w:tcPr>
            <w:tcW w:w="19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退货</w:t>
            </w:r>
          </w:p>
        </w:tc>
      </w:tr>
    </w:tbl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560" w:lineRule="exact"/>
        <w:ind w:left="31" w:right="13" w:firstLine="56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4.6.5</w:t>
      </w:r>
      <w:r>
        <w:rPr>
          <w:rFonts w:hint="eastAsia"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任一产品的外观质量不合格时，判该件产品不合格。但允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许乙方重新加工处理，如处理后仍不合格，则退货处理。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560" w:lineRule="exact"/>
        <w:ind w:left="3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4"/>
          <w:sz w:val="28"/>
          <w:szCs w:val="28"/>
        </w:rPr>
        <w:t>5</w:t>
      </w:r>
      <w:r>
        <w:rPr>
          <w:rFonts w:hint="eastAsia"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-4"/>
          <w:sz w:val="28"/>
          <w:szCs w:val="28"/>
        </w:rPr>
        <w:t>标志、包装、运输、贮存及质量证明书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560" w:lineRule="exact"/>
        <w:ind w:left="31" w:right="14" w:firstLine="56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3"/>
          <w:sz w:val="28"/>
          <w:szCs w:val="28"/>
        </w:rPr>
        <w:t>5.1 铝及铝合金添加剂的标志、包装、运输、贮存应符合</w:t>
      </w:r>
      <w:r>
        <w:rPr>
          <w:rFonts w:hint="eastAsia" w:ascii="仿宋" w:hAnsi="仿宋" w:eastAsia="仿宋" w:cs="仿宋"/>
          <w:spacing w:val="-8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GB/T3</w:t>
      </w:r>
      <w:r>
        <w:rPr>
          <w:rFonts w:hint="eastAsia" w:ascii="仿宋" w:hAnsi="仿宋" w:eastAsia="仿宋" w:cs="仿宋"/>
          <w:spacing w:val="-14"/>
          <w:sz w:val="28"/>
          <w:szCs w:val="28"/>
        </w:rPr>
        <w:t>199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之规定。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560" w:lineRule="exact"/>
        <w:ind w:left="32" w:right="13" w:firstLine="565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5.2 运输时必须用带蓬、防雨、防潮、洁净的运输工具，防止抛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摔及机械损伤</w:t>
      </w:r>
      <w:r>
        <w:rPr>
          <w:rFonts w:hint="eastAsia" w:ascii="仿宋" w:hAnsi="仿宋" w:eastAsia="仿宋" w:cs="仿宋"/>
          <w:spacing w:val="-3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560" w:lineRule="exact"/>
        <w:ind w:left="598"/>
        <w:rPr>
          <w:rFonts w:hint="eastAsia" w:ascii="仿宋" w:hAnsi="仿宋" w:eastAsia="仿宋" w:cs="仿宋"/>
          <w:spacing w:val="-3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5.3 质量证明书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560" w:lineRule="exact"/>
        <w:ind w:left="31" w:right="14" w:firstLine="566"/>
        <w:rPr>
          <w:rFonts w:hint="eastAsia" w:ascii="仿宋" w:hAnsi="仿宋" w:eastAsia="仿宋" w:cs="仿宋"/>
          <w:spacing w:val="-13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>每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批产品附有产品质量证明书，注明： a）乙方名称、地址、电话、传真；b）产品名称；c）牌号、批号；d）件数和净重；e）各项分析检测结果和乙方质量检验部门印记； f）本标准标号；g）出厂日期（或包装日期）。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560" w:lineRule="exact"/>
        <w:ind w:right="14"/>
        <w:rPr>
          <w:rFonts w:hint="eastAsia" w:ascii="仿宋" w:hAnsi="仿宋" w:eastAsia="仿宋" w:cs="仿宋"/>
          <w:b/>
          <w:bCs/>
          <w:spacing w:val="-1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3"/>
          <w:sz w:val="28"/>
          <w:szCs w:val="28"/>
          <w:lang w:val="en-US" w:eastAsia="zh-CN"/>
        </w:rPr>
        <w:t>6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19" w:firstLineChars="191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6.1 本技术规格书一式两份，甲乙双方各执一份。</w:t>
      </w:r>
      <w:r>
        <w:rPr>
          <w:rFonts w:hint="eastAsia" w:ascii="仿宋" w:hAnsi="仿宋" w:eastAsia="仿宋" w:cs="仿宋"/>
          <w:sz w:val="28"/>
          <w:szCs w:val="28"/>
        </w:rPr>
        <w:t>自双方单位签字之日起生效。若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sz w:val="28"/>
          <w:szCs w:val="28"/>
        </w:rPr>
        <w:t>未中标，则本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规格书</w:t>
      </w:r>
      <w:r>
        <w:rPr>
          <w:rFonts w:hint="eastAsia" w:ascii="仿宋" w:hAnsi="仿宋" w:eastAsia="仿宋" w:cs="仿宋"/>
          <w:sz w:val="28"/>
          <w:szCs w:val="28"/>
        </w:rPr>
        <w:t>自动失效，甲乙双方互不承担任何责任。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4" w:firstLineChars="191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6.2 本技术规格书有效期一年。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4" w:firstLineChars="191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6.3本协议内容经由甲乙双方于  年 月 日 时- 时通过  方式商定。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4" w:firstLineChars="191"/>
        <w:textAlignment w:val="auto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6.4甲乙双方应当就签订本协议的相关事宜保密，不得将签订主体、时间、内容等信息透漏给其他第三人。</w:t>
      </w:r>
    </w:p>
    <w:p>
      <w:pPr>
        <w:spacing w:line="91" w:lineRule="auto"/>
        <w:rPr>
          <w:rFonts w:hint="eastAsia" w:ascii="仿宋" w:hAnsi="仿宋" w:eastAsia="仿宋" w:cs="仿宋"/>
          <w:sz w:val="2"/>
        </w:rPr>
      </w:pPr>
    </w:p>
    <w:tbl>
      <w:tblPr>
        <w:tblStyle w:val="5"/>
        <w:tblW w:w="1017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08"/>
        <w:gridCol w:w="52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4908" w:type="dxa"/>
            <w:vAlign w:val="top"/>
          </w:tcPr>
          <w:p>
            <w:pPr>
              <w:pStyle w:val="6"/>
              <w:spacing w:before="213" w:line="223" w:lineRule="auto"/>
              <w:ind w:left="164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8"/>
                <w:sz w:val="28"/>
                <w:szCs w:val="28"/>
              </w:rPr>
              <w:t>甲方</w:t>
            </w:r>
          </w:p>
        </w:tc>
        <w:tc>
          <w:tcPr>
            <w:tcW w:w="5270" w:type="dxa"/>
            <w:vAlign w:val="top"/>
          </w:tcPr>
          <w:p>
            <w:pPr>
              <w:pStyle w:val="6"/>
              <w:spacing w:before="213" w:line="225" w:lineRule="auto"/>
              <w:ind w:left="144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9"/>
                <w:sz w:val="28"/>
                <w:szCs w:val="28"/>
              </w:rPr>
              <w:t>乙方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  <w:jc w:val="center"/>
        </w:trPr>
        <w:tc>
          <w:tcPr>
            <w:tcW w:w="4908" w:type="dxa"/>
            <w:vAlign w:val="top"/>
          </w:tcPr>
          <w:p>
            <w:pPr>
              <w:pStyle w:val="6"/>
              <w:spacing w:before="172" w:line="222" w:lineRule="auto"/>
              <w:ind w:left="132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单位名称（章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）：</w:t>
            </w:r>
          </w:p>
          <w:p>
            <w:pPr>
              <w:pStyle w:val="6"/>
              <w:spacing w:before="287" w:line="221" w:lineRule="auto"/>
              <w:ind w:left="128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eastAsia="zh-CN"/>
              </w:rPr>
              <w:t>东兴铝业嘉峪关分公司</w:t>
            </w:r>
            <w:bookmarkStart w:id="0" w:name="_GoBack"/>
            <w:bookmarkEnd w:id="0"/>
          </w:p>
        </w:tc>
        <w:tc>
          <w:tcPr>
            <w:tcW w:w="5270" w:type="dxa"/>
            <w:vAlign w:val="top"/>
          </w:tcPr>
          <w:p>
            <w:pPr>
              <w:pStyle w:val="6"/>
              <w:spacing w:before="172" w:line="222" w:lineRule="auto"/>
              <w:ind w:left="129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单位名称（章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4908" w:type="dxa"/>
            <w:vAlign w:val="top"/>
          </w:tcPr>
          <w:p>
            <w:pPr>
              <w:pStyle w:val="6"/>
              <w:spacing w:before="248" w:line="222" w:lineRule="auto"/>
              <w:ind w:left="132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cs="仿宋"/>
                <w:spacing w:val="-3"/>
                <w:sz w:val="28"/>
                <w:szCs w:val="28"/>
                <w:lang w:eastAsia="zh-CN"/>
              </w:rPr>
              <w:t>技术代表人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</w:rPr>
              <w:t>：</w:t>
            </w:r>
          </w:p>
        </w:tc>
        <w:tc>
          <w:tcPr>
            <w:tcW w:w="5270" w:type="dxa"/>
            <w:vAlign w:val="top"/>
          </w:tcPr>
          <w:p>
            <w:pPr>
              <w:pStyle w:val="6"/>
              <w:spacing w:before="248" w:line="222" w:lineRule="auto"/>
              <w:ind w:left="129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cs="仿宋"/>
                <w:spacing w:val="-3"/>
                <w:sz w:val="28"/>
                <w:szCs w:val="28"/>
                <w:lang w:eastAsia="zh-CN"/>
              </w:rPr>
              <w:t>技术代表人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4908" w:type="dxa"/>
            <w:vAlign w:val="top"/>
          </w:tcPr>
          <w:p>
            <w:pPr>
              <w:pStyle w:val="6"/>
              <w:spacing w:before="261" w:line="224" w:lineRule="auto"/>
              <w:ind w:left="123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>联系电话：0937-67122080</w:t>
            </w:r>
          </w:p>
        </w:tc>
        <w:tc>
          <w:tcPr>
            <w:tcW w:w="5270" w:type="dxa"/>
            <w:vAlign w:val="top"/>
          </w:tcPr>
          <w:p>
            <w:pPr>
              <w:pStyle w:val="6"/>
              <w:spacing w:before="261" w:line="224" w:lineRule="auto"/>
              <w:ind w:left="121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4908" w:type="dxa"/>
            <w:vAlign w:val="top"/>
          </w:tcPr>
          <w:p>
            <w:pPr>
              <w:pStyle w:val="6"/>
              <w:spacing w:before="241" w:line="223" w:lineRule="auto"/>
              <w:ind w:right="28"/>
              <w:jc w:val="right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4"/>
                <w:sz w:val="28"/>
                <w:szCs w:val="28"/>
              </w:rPr>
              <w:t>日期：      年         月</w:t>
            </w: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</w:rPr>
              <w:t xml:space="preserve">        </w:t>
            </w:r>
            <w:r>
              <w:rPr>
                <w:rFonts w:hint="eastAsia" w:ascii="仿宋" w:hAnsi="仿宋" w:eastAsia="仿宋" w:cs="仿宋"/>
                <w:spacing w:val="-14"/>
                <w:sz w:val="28"/>
                <w:szCs w:val="28"/>
              </w:rPr>
              <w:t>日</w:t>
            </w:r>
          </w:p>
        </w:tc>
        <w:tc>
          <w:tcPr>
            <w:tcW w:w="5270" w:type="dxa"/>
            <w:vAlign w:val="top"/>
          </w:tcPr>
          <w:p>
            <w:pPr>
              <w:pStyle w:val="6"/>
              <w:spacing w:before="241" w:line="223" w:lineRule="auto"/>
              <w:ind w:left="183"/>
              <w:outlineLvl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3"/>
                <w:sz w:val="28"/>
                <w:szCs w:val="28"/>
              </w:rPr>
              <w:t>日期：</w:t>
            </w: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</w:rPr>
              <w:t xml:space="preserve">      </w:t>
            </w:r>
            <w:r>
              <w:rPr>
                <w:rFonts w:hint="eastAsia" w:ascii="仿宋" w:hAnsi="仿宋" w:eastAsia="仿宋" w:cs="仿宋"/>
                <w:spacing w:val="-2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</w:rPr>
              <w:t xml:space="preserve">        </w:t>
            </w:r>
            <w:r>
              <w:rPr>
                <w:rFonts w:hint="eastAsia" w:ascii="仿宋" w:hAnsi="仿宋" w:eastAsia="仿宋" w:cs="仿宋"/>
                <w:spacing w:val="-23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</w:rPr>
              <w:t xml:space="preserve">        </w:t>
            </w:r>
            <w:r>
              <w:rPr>
                <w:rFonts w:hint="eastAsia" w:ascii="仿宋" w:hAnsi="仿宋" w:eastAsia="仿宋" w:cs="仿宋"/>
                <w:spacing w:val="-23"/>
                <w:sz w:val="28"/>
                <w:szCs w:val="28"/>
              </w:rPr>
              <w:t>日</w:t>
            </w:r>
          </w:p>
        </w:tc>
      </w:tr>
    </w:tbl>
    <w:p>
      <w:pPr>
        <w:pStyle w:val="2"/>
        <w:rPr>
          <w:rFonts w:hint="eastAsia" w:ascii="仿宋" w:hAnsi="仿宋" w:eastAsia="仿宋" w:cs="仿宋"/>
        </w:rPr>
      </w:pPr>
    </w:p>
    <w:sectPr>
      <w:pgSz w:w="11906" w:h="16839"/>
      <w:pgMar w:top="1431" w:right="861" w:bottom="0" w:left="86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TFiOGYyNzhjMzg1MmMwY2Y0OWNjY2E3YzM5MDZkYzYifQ=="/>
  </w:docVars>
  <w:rsids>
    <w:rsidRoot w:val="00000000"/>
    <w:rsid w:val="033A0B59"/>
    <w:rsid w:val="101C5C7A"/>
    <w:rsid w:val="18DD704B"/>
    <w:rsid w:val="28D46FCB"/>
    <w:rsid w:val="29361D11"/>
    <w:rsid w:val="2D12039F"/>
    <w:rsid w:val="362F246C"/>
    <w:rsid w:val="3FD83CE2"/>
    <w:rsid w:val="43BA01B0"/>
    <w:rsid w:val="45D10A07"/>
    <w:rsid w:val="4F454F19"/>
    <w:rsid w:val="59BC65AD"/>
    <w:rsid w:val="5A1C0D3B"/>
    <w:rsid w:val="5B204503"/>
    <w:rsid w:val="60224AA7"/>
    <w:rsid w:val="6FB95F4D"/>
    <w:rsid w:val="77960E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character" w:customStyle="1" w:styleId="7">
    <w:name w:val="font11"/>
    <w:basedOn w:val="4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2375</Words>
  <Characters>2699</Characters>
  <TotalTime>23</TotalTime>
  <ScaleCrop>false</ScaleCrop>
  <LinksUpToDate>false</LinksUpToDate>
  <CharactersWithSpaces>2872</CharactersWithSpaces>
  <Application>WPS Office_12.1.0.16910_F1E327BC-269C-435d-A152-05C5408002CA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2025-02-05T11:58:00Z</dcterms:created>
  <dc:creator>崔云龙</dc:creator>
  <cp:lastModifiedBy>小白白</cp:lastModifiedBy>
  <dcterms:modified xsi:type="dcterms:W3CDTF">2026-03-23T09:34:48Z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2025-05-12T09:57:32Z</vt:filetime>
  </property>
  <property fmtid="{D5CDD505-2E9C-101B-9397-08002B2CF9AE}" pid="4" name="KSOTemplateDocerSaveRecord">
    <vt:lpwstr>eyJoZGlkIjoiOWNhMzdhYzczZmNmMjUxYzhlNzA3ZWQ5NWYyMWUwODYiLCJ1c2VySWQiOiIzNDU0NjQ3NDgifQ==</vt:lpwstr>
  </property>
  <property fmtid="{D5CDD505-2E9C-101B-9397-08002B2CF9AE}" pid="5" name="KSOProductBuildVer">
    <vt:lpwstr>2052-12.1.0.16910</vt:lpwstr>
  </property>
  <property fmtid="{D5CDD505-2E9C-101B-9397-08002B2CF9AE}" pid="6" name="ICV">
    <vt:lpwstr>25712504B1F8465E96EBED164E0AC281_12</vt:lpwstr>
  </property>
</Properties>
</file>