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12163B9">
      <w:pPr>
        <w:widowControl/>
        <w:spacing w:line="480" w:lineRule="auto"/>
        <w:ind w:right="63" w:rightChars="30"/>
        <w:jc w:val="center"/>
        <w:rPr>
          <w:rFonts w:hint="eastAsia" w:ascii="华文新魏" w:eastAsia="华文新魏"/>
          <w:sz w:val="44"/>
          <w:szCs w:val="44"/>
        </w:rPr>
      </w:pPr>
    </w:p>
    <w:p w14:paraId="2F7FD500">
      <w:pPr>
        <w:widowControl/>
        <w:spacing w:line="480" w:lineRule="auto"/>
        <w:ind w:right="63" w:rightChars="30"/>
        <w:jc w:val="center"/>
        <w:rPr>
          <w:rFonts w:hint="eastAsia" w:ascii="华文新魏" w:eastAsia="华文新魏"/>
          <w:sz w:val="44"/>
          <w:szCs w:val="44"/>
        </w:rPr>
      </w:pPr>
      <w:r>
        <w:rPr>
          <w:rFonts w:hint="eastAsia" w:ascii="宋体" w:hAnsi="宋体"/>
          <w:b/>
          <w:sz w:val="44"/>
          <w:szCs w:val="44"/>
        </w:rPr>
        <w:t>甘肃酒钢集团宏兴钢铁股份有限公司</w:t>
      </w:r>
      <w:r>
        <w:rPr>
          <w:rFonts w:hint="eastAsia" w:ascii="宋体" w:hAnsi="宋体"/>
          <w:b/>
          <w:sz w:val="44"/>
          <w:szCs w:val="44"/>
          <w:lang w:val="en-US" w:eastAsia="zh-CN"/>
        </w:rPr>
        <w:t>炼铁</w:t>
      </w:r>
      <w:r>
        <w:rPr>
          <w:rFonts w:hint="eastAsia" w:ascii="宋体" w:hAnsi="宋体"/>
          <w:b/>
          <w:sz w:val="44"/>
          <w:szCs w:val="44"/>
        </w:rPr>
        <w:t>厂</w:t>
      </w:r>
    </w:p>
    <w:p w14:paraId="0887BEE7">
      <w:pPr>
        <w:widowControl/>
        <w:spacing w:line="480" w:lineRule="auto"/>
        <w:ind w:right="63" w:rightChars="30"/>
        <w:jc w:val="both"/>
        <w:rPr>
          <w:rFonts w:hint="eastAsia" w:ascii="宋体" w:hAnsi="宋体"/>
          <w:b/>
          <w:sz w:val="36"/>
          <w:szCs w:val="36"/>
        </w:rPr>
      </w:pPr>
    </w:p>
    <w:p w14:paraId="415E746E">
      <w:pPr>
        <w:widowControl/>
        <w:spacing w:line="480" w:lineRule="auto"/>
        <w:ind w:right="63" w:rightChars="30" w:firstLine="181" w:firstLineChars="50"/>
        <w:jc w:val="center"/>
        <w:rPr>
          <w:rFonts w:hint="eastAsia" w:ascii="宋体" w:hAnsi="宋体" w:eastAsia="宋体" w:cs="Times New Roman"/>
          <w:b/>
          <w:sz w:val="36"/>
          <w:szCs w:val="36"/>
        </w:rPr>
      </w:pPr>
      <w:r>
        <w:rPr>
          <w:rFonts w:hint="eastAsia" w:ascii="宋体" w:hAnsi="宋体" w:eastAsia="宋体" w:cs="Times New Roman"/>
          <w:b/>
          <w:sz w:val="36"/>
          <w:szCs w:val="36"/>
        </w:rPr>
        <w:t>液下渣浆泵</w:t>
      </w:r>
    </w:p>
    <w:p w14:paraId="40755355">
      <w:pPr>
        <w:widowControl/>
        <w:spacing w:line="480" w:lineRule="auto"/>
        <w:ind w:right="63" w:rightChars="30" w:firstLine="181" w:firstLineChars="50"/>
        <w:jc w:val="center"/>
        <w:rPr>
          <w:rFonts w:hint="eastAsia" w:ascii="宋体" w:hAnsi="宋体" w:eastAsia="宋体" w:cs="Times New Roman"/>
          <w:b/>
          <w:sz w:val="36"/>
          <w:szCs w:val="36"/>
        </w:rPr>
      </w:pPr>
      <w:r>
        <w:rPr>
          <w:rFonts w:hint="eastAsia" w:ascii="宋体" w:hAnsi="宋体" w:eastAsia="宋体" w:cs="Times New Roman"/>
          <w:b/>
          <w:sz w:val="36"/>
          <w:szCs w:val="36"/>
        </w:rPr>
        <w:t>100m3/h 12m 渣浆水 100YZ100-12-7.5Kw（带电机）</w:t>
      </w:r>
    </w:p>
    <w:p w14:paraId="012B6A84">
      <w:pPr>
        <w:widowControl/>
        <w:spacing w:line="480" w:lineRule="auto"/>
        <w:ind w:right="63" w:rightChars="30" w:firstLine="180" w:firstLineChars="50"/>
        <w:jc w:val="center"/>
        <w:rPr>
          <w:rFonts w:hint="eastAsia" w:ascii="宋体" w:hAnsi="宋体" w:cs="Times New Roman"/>
          <w:b w:val="0"/>
          <w:bCs/>
          <w:sz w:val="36"/>
          <w:szCs w:val="36"/>
          <w:lang w:val="en-US" w:eastAsia="zh-CN"/>
        </w:rPr>
      </w:pPr>
      <w:r>
        <w:rPr>
          <w:rFonts w:hint="eastAsia" w:ascii="宋体" w:hAnsi="宋体" w:cs="Times New Roman"/>
          <w:b w:val="0"/>
          <w:bCs/>
          <w:sz w:val="36"/>
          <w:szCs w:val="36"/>
          <w:lang w:val="en-US" w:eastAsia="zh-CN"/>
        </w:rPr>
        <w:t>（</w:t>
      </w:r>
      <w:r>
        <w:rPr>
          <w:rFonts w:hint="eastAsia" w:ascii="宋体" w:hAnsi="宋体" w:eastAsia="宋体" w:cs="Times New Roman"/>
          <w:b w:val="0"/>
          <w:bCs/>
          <w:sz w:val="36"/>
          <w:szCs w:val="36"/>
          <w:lang w:val="en-US" w:eastAsia="zh-CN"/>
        </w:rPr>
        <w:t>70407667</w:t>
      </w:r>
      <w:r>
        <w:rPr>
          <w:rFonts w:hint="eastAsia" w:ascii="宋体" w:hAnsi="宋体" w:cs="Times New Roman"/>
          <w:b w:val="0"/>
          <w:bCs/>
          <w:sz w:val="36"/>
          <w:szCs w:val="36"/>
          <w:lang w:val="en-US" w:eastAsia="zh-CN"/>
        </w:rPr>
        <w:t>）</w:t>
      </w:r>
    </w:p>
    <w:p w14:paraId="28958405">
      <w:pPr>
        <w:pStyle w:val="2"/>
        <w:rPr>
          <w:rFonts w:hint="eastAsia"/>
          <w:lang w:val="en-US" w:eastAsia="zh-CN"/>
        </w:rPr>
      </w:pPr>
    </w:p>
    <w:p w14:paraId="74718F8C">
      <w:pPr>
        <w:widowControl/>
        <w:spacing w:line="480" w:lineRule="auto"/>
        <w:ind w:right="63" w:rightChars="30" w:firstLine="180" w:firstLineChars="50"/>
        <w:jc w:val="center"/>
        <w:rPr>
          <w:rFonts w:hint="eastAsia" w:ascii="宋体" w:hAnsi="宋体" w:eastAsia="宋体" w:cs="Times New Roman"/>
          <w:b w:val="0"/>
          <w:bCs/>
          <w:sz w:val="36"/>
          <w:szCs w:val="36"/>
          <w:lang w:val="en-US" w:eastAsia="zh-CN"/>
        </w:rPr>
      </w:pPr>
      <w:r>
        <w:rPr>
          <w:rFonts w:hint="eastAsia" w:ascii="宋体" w:hAnsi="宋体" w:eastAsia="宋体" w:cs="Times New Roman"/>
          <w:b w:val="0"/>
          <w:bCs/>
          <w:sz w:val="36"/>
          <w:szCs w:val="36"/>
          <w:lang w:val="en-US" w:eastAsia="zh-CN"/>
        </w:rPr>
        <w:t>采购</w:t>
      </w:r>
      <w:r>
        <w:rPr>
          <w:rFonts w:hint="eastAsia" w:ascii="宋体" w:hAnsi="宋体" w:eastAsia="宋体" w:cs="Times New Roman"/>
          <w:b w:val="0"/>
          <w:bCs/>
          <w:sz w:val="36"/>
          <w:szCs w:val="36"/>
        </w:rPr>
        <w:t>技术</w:t>
      </w:r>
      <w:r>
        <w:rPr>
          <w:rFonts w:hint="eastAsia" w:ascii="宋体" w:hAnsi="宋体" w:eastAsia="宋体" w:cs="Times New Roman"/>
          <w:b w:val="0"/>
          <w:bCs/>
          <w:sz w:val="36"/>
          <w:szCs w:val="36"/>
          <w:lang w:val="en-US" w:eastAsia="zh-CN"/>
        </w:rPr>
        <w:t>规格书</w:t>
      </w:r>
    </w:p>
    <w:p w14:paraId="4B28E14B">
      <w:pPr>
        <w:jc w:val="center"/>
        <w:rPr>
          <w:rFonts w:hint="eastAsia" w:ascii="黑体" w:eastAsia="黑体"/>
          <w:sz w:val="44"/>
          <w:szCs w:val="44"/>
        </w:rPr>
      </w:pPr>
    </w:p>
    <w:p w14:paraId="3BBB1BFF">
      <w:pPr>
        <w:jc w:val="center"/>
        <w:rPr>
          <w:rFonts w:hint="eastAsia" w:ascii="宋体" w:hAnsi="宋体"/>
          <w:b/>
          <w:bCs/>
          <w:sz w:val="24"/>
        </w:rPr>
      </w:pPr>
    </w:p>
    <w:p w14:paraId="454CA2F9">
      <w:pPr>
        <w:jc w:val="center"/>
        <w:rPr>
          <w:rFonts w:hint="eastAsia" w:ascii="宋体" w:hAnsi="宋体"/>
          <w:b/>
          <w:bCs/>
          <w:sz w:val="24"/>
        </w:rPr>
      </w:pPr>
    </w:p>
    <w:p w14:paraId="4E011C20">
      <w:pPr>
        <w:jc w:val="center"/>
        <w:rPr>
          <w:rFonts w:hint="eastAsia" w:ascii="宋体" w:hAnsi="宋体"/>
          <w:b/>
          <w:bCs/>
          <w:sz w:val="24"/>
        </w:rPr>
      </w:pPr>
    </w:p>
    <w:p w14:paraId="6CD05C47">
      <w:pPr>
        <w:jc w:val="center"/>
        <w:rPr>
          <w:rFonts w:hint="eastAsia" w:ascii="宋体" w:hAnsi="宋体"/>
          <w:b/>
          <w:bCs/>
          <w:sz w:val="24"/>
        </w:rPr>
      </w:pPr>
    </w:p>
    <w:p w14:paraId="6BA416FC">
      <w:pPr>
        <w:jc w:val="center"/>
        <w:rPr>
          <w:rFonts w:hint="eastAsia" w:ascii="宋体" w:hAnsi="宋体"/>
          <w:b/>
          <w:bCs/>
          <w:sz w:val="24"/>
        </w:rPr>
      </w:pPr>
    </w:p>
    <w:p w14:paraId="7986EB02">
      <w:pPr>
        <w:jc w:val="center"/>
        <w:rPr>
          <w:rFonts w:hint="eastAsia" w:ascii="宋体" w:hAnsi="宋体"/>
          <w:b/>
          <w:bCs/>
          <w:sz w:val="24"/>
        </w:rPr>
      </w:pPr>
    </w:p>
    <w:p w14:paraId="69E3D15B">
      <w:pPr>
        <w:jc w:val="center"/>
        <w:rPr>
          <w:rFonts w:hint="eastAsia" w:ascii="宋体" w:hAnsi="宋体"/>
          <w:b/>
          <w:bCs/>
          <w:sz w:val="24"/>
        </w:rPr>
      </w:pPr>
    </w:p>
    <w:p w14:paraId="2B22D4EA">
      <w:pPr>
        <w:jc w:val="center"/>
        <w:rPr>
          <w:rFonts w:hint="eastAsia" w:ascii="宋体" w:hAnsi="宋体"/>
          <w:b/>
          <w:bCs/>
          <w:sz w:val="24"/>
        </w:rPr>
      </w:pPr>
    </w:p>
    <w:p w14:paraId="293A98C1">
      <w:pPr>
        <w:jc w:val="center"/>
        <w:rPr>
          <w:rFonts w:hint="eastAsia" w:ascii="宋体" w:hAnsi="宋体"/>
          <w:b/>
          <w:bCs/>
          <w:sz w:val="24"/>
        </w:rPr>
      </w:pPr>
    </w:p>
    <w:p w14:paraId="5FCC2E8D">
      <w:pPr>
        <w:jc w:val="center"/>
        <w:rPr>
          <w:rFonts w:hint="eastAsia" w:ascii="宋体" w:hAnsi="宋体"/>
          <w:b/>
          <w:bCs/>
          <w:sz w:val="24"/>
        </w:rPr>
      </w:pPr>
    </w:p>
    <w:p w14:paraId="3E38C09B">
      <w:pPr>
        <w:jc w:val="center"/>
        <w:rPr>
          <w:rFonts w:hint="eastAsia" w:ascii="宋体" w:hAnsi="宋体"/>
          <w:b/>
          <w:bCs/>
          <w:sz w:val="24"/>
        </w:rPr>
      </w:pPr>
    </w:p>
    <w:p w14:paraId="49B55690">
      <w:pPr>
        <w:jc w:val="center"/>
        <w:rPr>
          <w:rFonts w:hint="eastAsia" w:ascii="宋体" w:hAnsi="宋体"/>
          <w:b/>
          <w:bCs/>
          <w:sz w:val="24"/>
        </w:rPr>
      </w:pPr>
    </w:p>
    <w:p w14:paraId="490A082E">
      <w:pPr>
        <w:jc w:val="center"/>
        <w:rPr>
          <w:rFonts w:hint="eastAsia" w:ascii="宋体" w:hAnsi="宋体"/>
          <w:b/>
          <w:bCs/>
          <w:sz w:val="24"/>
        </w:rPr>
      </w:pPr>
    </w:p>
    <w:p w14:paraId="78424A99">
      <w:pPr>
        <w:jc w:val="center"/>
        <w:rPr>
          <w:rFonts w:hint="eastAsia" w:ascii="宋体" w:hAnsi="宋体"/>
          <w:b/>
          <w:bCs/>
          <w:sz w:val="24"/>
        </w:rPr>
      </w:pPr>
    </w:p>
    <w:p w14:paraId="6721C30B">
      <w:pPr>
        <w:snapToGrid w:val="0"/>
        <w:spacing w:line="360" w:lineRule="auto"/>
        <w:ind w:right="2" w:rightChars="1" w:firstLine="703" w:firstLineChars="250"/>
        <w:rPr>
          <w:rFonts w:hint="eastAsia" w:ascii="仿宋" w:hAnsi="仿宋" w:eastAsia="仿宋" w:cs="仿宋"/>
          <w:b/>
          <w:sz w:val="28"/>
          <w:szCs w:val="28"/>
          <w:lang w:eastAsia="zh-CN"/>
        </w:rPr>
      </w:pPr>
      <w:r>
        <w:rPr>
          <w:rFonts w:hint="eastAsia" w:ascii="仿宋" w:hAnsi="仿宋" w:eastAsia="仿宋" w:cs="仿宋"/>
          <w:b/>
          <w:sz w:val="28"/>
          <w:szCs w:val="28"/>
        </w:rPr>
        <w:t>甲方：甘肃酒钢集团宏兴钢铁股份有限公司</w:t>
      </w:r>
      <w:r>
        <w:rPr>
          <w:rFonts w:hint="eastAsia" w:ascii="仿宋" w:hAnsi="仿宋" w:eastAsia="仿宋" w:cs="仿宋"/>
          <w:b/>
          <w:sz w:val="28"/>
          <w:szCs w:val="28"/>
          <w:lang w:eastAsia="zh-CN"/>
        </w:rPr>
        <w:t>炼铁厂</w:t>
      </w:r>
    </w:p>
    <w:p w14:paraId="10999C36">
      <w:pPr>
        <w:spacing w:before="100" w:beforeAutospacing="1" w:after="100" w:afterAutospacing="1" w:line="360" w:lineRule="auto"/>
        <w:ind w:firstLine="722" w:firstLineChars="257"/>
        <w:rPr>
          <w:rFonts w:hint="eastAsia" w:ascii="仿宋" w:hAnsi="仿宋" w:eastAsia="仿宋" w:cs="仿宋"/>
          <w:b/>
          <w:bCs/>
          <w:sz w:val="28"/>
          <w:szCs w:val="28"/>
        </w:rPr>
      </w:pPr>
      <w:r>
        <w:rPr>
          <w:rFonts w:hint="eastAsia" w:ascii="仿宋" w:hAnsi="仿宋" w:eastAsia="仿宋" w:cs="仿宋"/>
          <w:b/>
          <w:bCs/>
          <w:sz w:val="28"/>
          <w:szCs w:val="28"/>
        </w:rPr>
        <w:t>甲方代表（签字）：</w:t>
      </w:r>
    </w:p>
    <w:p w14:paraId="36595FD6">
      <w:pPr>
        <w:spacing w:before="100" w:beforeAutospacing="1" w:after="100" w:afterAutospacing="1" w:line="360" w:lineRule="auto"/>
        <w:ind w:firstLine="722" w:firstLineChars="257"/>
        <w:rPr>
          <w:rFonts w:hint="default" w:ascii="仿宋" w:hAnsi="仿宋" w:eastAsia="仿宋" w:cs="仿宋"/>
          <w:b/>
          <w:sz w:val="28"/>
          <w:szCs w:val="28"/>
          <w:lang w:val="en-US" w:eastAsia="zh-CN"/>
        </w:rPr>
      </w:pPr>
      <w:r>
        <w:rPr>
          <w:rFonts w:hint="eastAsia" w:ascii="仿宋" w:hAnsi="仿宋" w:eastAsia="仿宋" w:cs="仿宋"/>
          <w:b/>
          <w:sz w:val="28"/>
          <w:szCs w:val="28"/>
        </w:rPr>
        <w:t>乙方：</w:t>
      </w:r>
    </w:p>
    <w:p w14:paraId="28171480">
      <w:pPr>
        <w:snapToGrid w:val="0"/>
        <w:spacing w:before="100" w:beforeAutospacing="1" w:after="100" w:afterAutospacing="1" w:line="360" w:lineRule="auto"/>
        <w:ind w:right="-447" w:firstLine="722" w:firstLineChars="257"/>
        <w:rPr>
          <w:rFonts w:ascii="仿宋_GB2312" w:hAnsi="Arial Narrow" w:eastAsia="仿宋_GB2312"/>
          <w:b/>
          <w:sz w:val="36"/>
        </w:rPr>
      </w:pPr>
      <w:r>
        <w:rPr>
          <w:rFonts w:hint="eastAsia" w:ascii="仿宋" w:hAnsi="仿宋" w:eastAsia="仿宋" w:cs="仿宋"/>
          <w:b/>
          <w:sz w:val="28"/>
          <w:szCs w:val="28"/>
        </w:rPr>
        <w:t>乙方代表（签字）：</w:t>
      </w:r>
    </w:p>
    <w:p w14:paraId="013EE5D4">
      <w:pPr>
        <w:jc w:val="both"/>
        <w:rPr>
          <w:rFonts w:hint="eastAsia" w:ascii="宋体" w:hAnsi="宋体"/>
          <w:b/>
          <w:sz w:val="36"/>
          <w:szCs w:val="36"/>
        </w:rPr>
      </w:pPr>
    </w:p>
    <w:p w14:paraId="12CE7170">
      <w:pPr>
        <w:pStyle w:val="2"/>
        <w:rPr>
          <w:rFonts w:hint="eastAsia"/>
        </w:rPr>
      </w:pPr>
    </w:p>
    <w:p w14:paraId="11BB7C6B">
      <w:pPr>
        <w:jc w:val="center"/>
        <w:rPr>
          <w:rFonts w:hint="eastAsia" w:ascii="宋体" w:hAnsi="宋体"/>
          <w:b/>
          <w:sz w:val="36"/>
          <w:szCs w:val="36"/>
        </w:rPr>
      </w:pPr>
      <w:r>
        <w:rPr>
          <w:rFonts w:hint="eastAsia" w:ascii="宋体" w:hAnsi="宋体"/>
          <w:b/>
          <w:sz w:val="36"/>
          <w:szCs w:val="36"/>
        </w:rPr>
        <w:t>目    录</w:t>
      </w:r>
    </w:p>
    <w:p w14:paraId="3A310492">
      <w:pPr>
        <w:spacing w:line="360" w:lineRule="auto"/>
        <w:jc w:val="center"/>
        <w:rPr>
          <w:rFonts w:hint="eastAsia" w:ascii="宋体" w:hAnsi="宋体"/>
          <w:b/>
          <w:sz w:val="36"/>
          <w:szCs w:val="36"/>
        </w:rPr>
      </w:pPr>
    </w:p>
    <w:p w14:paraId="17EE9A1A">
      <w:pPr>
        <w:spacing w:before="100" w:beforeAutospacing="1" w:after="100" w:afterAutospacing="1" w:line="480" w:lineRule="auto"/>
        <w:ind w:firstLine="2530" w:firstLineChars="900"/>
        <w:rPr>
          <w:rFonts w:hint="eastAsia" w:ascii="宋体" w:hAnsi="宋体"/>
          <w:b/>
          <w:sz w:val="28"/>
          <w:szCs w:val="28"/>
        </w:rPr>
      </w:pPr>
      <w:r>
        <w:rPr>
          <w:rFonts w:hint="eastAsia" w:ascii="宋体" w:hAnsi="宋体"/>
          <w:b/>
          <w:sz w:val="28"/>
          <w:szCs w:val="28"/>
        </w:rPr>
        <w:t>附件一    总则</w:t>
      </w:r>
    </w:p>
    <w:p w14:paraId="5B5489FB">
      <w:pPr>
        <w:spacing w:before="100" w:beforeAutospacing="1" w:after="100" w:afterAutospacing="1" w:line="480" w:lineRule="auto"/>
        <w:ind w:firstLine="2530" w:firstLineChars="900"/>
        <w:rPr>
          <w:rFonts w:hint="eastAsia" w:ascii="宋体" w:hAnsi="宋体"/>
          <w:b/>
          <w:sz w:val="28"/>
          <w:szCs w:val="28"/>
        </w:rPr>
      </w:pPr>
      <w:r>
        <w:rPr>
          <w:rFonts w:hint="eastAsia" w:ascii="宋体" w:hAnsi="宋体"/>
          <w:b/>
          <w:sz w:val="28"/>
          <w:szCs w:val="28"/>
        </w:rPr>
        <w:t>附件二    制造要求</w:t>
      </w:r>
    </w:p>
    <w:p w14:paraId="04F9064E">
      <w:pPr>
        <w:spacing w:before="100" w:beforeAutospacing="1" w:after="100" w:afterAutospacing="1" w:line="480" w:lineRule="auto"/>
        <w:ind w:firstLine="2530" w:firstLineChars="900"/>
        <w:rPr>
          <w:rFonts w:hint="eastAsia" w:ascii="宋体" w:hAnsi="宋体"/>
          <w:b/>
          <w:sz w:val="28"/>
          <w:szCs w:val="28"/>
        </w:rPr>
      </w:pPr>
      <w:r>
        <w:rPr>
          <w:rFonts w:hint="eastAsia" w:ascii="宋体" w:hAnsi="宋体"/>
          <w:b/>
          <w:sz w:val="28"/>
          <w:szCs w:val="28"/>
        </w:rPr>
        <w:t>附件三    系统设施供货范围</w:t>
      </w:r>
    </w:p>
    <w:p w14:paraId="133AC1BC">
      <w:pPr>
        <w:spacing w:before="100" w:beforeAutospacing="1" w:after="100" w:afterAutospacing="1" w:line="480" w:lineRule="auto"/>
        <w:ind w:firstLine="2530" w:firstLineChars="900"/>
        <w:rPr>
          <w:rFonts w:hint="eastAsia" w:ascii="宋体" w:hAnsi="宋体"/>
          <w:b/>
          <w:sz w:val="28"/>
          <w:szCs w:val="28"/>
        </w:rPr>
      </w:pPr>
      <w:r>
        <w:rPr>
          <w:rFonts w:hint="eastAsia" w:ascii="宋体" w:hAnsi="宋体"/>
          <w:b/>
          <w:sz w:val="28"/>
          <w:szCs w:val="28"/>
        </w:rPr>
        <w:t>附件四    提供资料</w:t>
      </w:r>
    </w:p>
    <w:p w14:paraId="3B3E15CA">
      <w:pPr>
        <w:spacing w:before="100" w:beforeAutospacing="1" w:after="100" w:afterAutospacing="1" w:line="480" w:lineRule="auto"/>
        <w:ind w:firstLine="2530" w:firstLineChars="900"/>
        <w:rPr>
          <w:rFonts w:hint="eastAsia" w:ascii="宋体" w:hAnsi="宋体"/>
          <w:b/>
          <w:sz w:val="28"/>
          <w:szCs w:val="28"/>
        </w:rPr>
      </w:pPr>
      <w:r>
        <w:rPr>
          <w:rFonts w:hint="eastAsia" w:ascii="宋体" w:hAnsi="宋体"/>
          <w:b/>
          <w:sz w:val="28"/>
          <w:szCs w:val="28"/>
        </w:rPr>
        <w:t>附件五    售后服务</w:t>
      </w:r>
    </w:p>
    <w:p w14:paraId="6F984C66">
      <w:pPr>
        <w:spacing w:before="100" w:beforeAutospacing="1" w:after="100" w:afterAutospacing="1" w:line="480" w:lineRule="auto"/>
        <w:ind w:firstLine="2530" w:firstLineChars="900"/>
        <w:rPr>
          <w:rFonts w:hint="eastAsia" w:ascii="宋体" w:hAnsi="宋体"/>
          <w:b/>
          <w:sz w:val="28"/>
          <w:szCs w:val="28"/>
        </w:rPr>
      </w:pPr>
      <w:r>
        <w:rPr>
          <w:rFonts w:hint="eastAsia" w:ascii="宋体" w:hAnsi="宋体"/>
          <w:b/>
          <w:sz w:val="28"/>
          <w:szCs w:val="28"/>
        </w:rPr>
        <w:t>附件六    交货时间及地点</w:t>
      </w:r>
    </w:p>
    <w:p w14:paraId="0B97B313">
      <w:pPr>
        <w:spacing w:before="100" w:beforeAutospacing="1" w:after="100" w:afterAutospacing="1" w:line="480" w:lineRule="auto"/>
        <w:ind w:firstLine="2530" w:firstLineChars="900"/>
        <w:rPr>
          <w:rFonts w:hint="eastAsia" w:ascii="宋体" w:hAnsi="宋体"/>
          <w:b/>
          <w:sz w:val="28"/>
          <w:szCs w:val="28"/>
        </w:rPr>
      </w:pPr>
      <w:r>
        <w:rPr>
          <w:rFonts w:hint="eastAsia" w:ascii="宋体" w:hAnsi="宋体"/>
          <w:b/>
          <w:sz w:val="28"/>
          <w:szCs w:val="28"/>
        </w:rPr>
        <w:t>附件七    其它</w:t>
      </w:r>
    </w:p>
    <w:p w14:paraId="0F1F3CF2">
      <w:pPr>
        <w:snapToGrid w:val="0"/>
        <w:spacing w:line="360" w:lineRule="auto"/>
        <w:ind w:right="-447"/>
        <w:rPr>
          <w:rFonts w:hint="eastAsia" w:ascii="宋体" w:hAnsi="宋体"/>
          <w:b/>
          <w:sz w:val="28"/>
          <w:szCs w:val="28"/>
        </w:rPr>
      </w:pPr>
    </w:p>
    <w:p w14:paraId="38341CA8">
      <w:pPr>
        <w:snapToGrid w:val="0"/>
        <w:spacing w:line="360" w:lineRule="auto"/>
        <w:ind w:right="-447"/>
        <w:rPr>
          <w:rFonts w:hint="eastAsia" w:ascii="宋体" w:hAnsi="宋体"/>
          <w:b/>
          <w:sz w:val="28"/>
          <w:szCs w:val="28"/>
        </w:rPr>
      </w:pPr>
    </w:p>
    <w:p w14:paraId="059FC05E">
      <w:pPr>
        <w:snapToGrid w:val="0"/>
        <w:spacing w:line="360" w:lineRule="auto"/>
        <w:ind w:right="-447"/>
        <w:rPr>
          <w:rFonts w:hint="eastAsia" w:ascii="宋体" w:hAnsi="宋体"/>
          <w:b/>
          <w:sz w:val="28"/>
          <w:szCs w:val="28"/>
        </w:rPr>
      </w:pPr>
    </w:p>
    <w:p w14:paraId="77D84239">
      <w:pPr>
        <w:snapToGrid w:val="0"/>
        <w:spacing w:line="360" w:lineRule="auto"/>
        <w:ind w:right="-447"/>
        <w:rPr>
          <w:rFonts w:hint="eastAsia" w:ascii="宋体" w:hAnsi="宋体"/>
          <w:b/>
          <w:sz w:val="28"/>
          <w:szCs w:val="28"/>
        </w:rPr>
      </w:pPr>
    </w:p>
    <w:p w14:paraId="78277DB8">
      <w:pPr>
        <w:spacing w:line="400" w:lineRule="exact"/>
        <w:rPr>
          <w:rFonts w:hint="eastAsia"/>
          <w:b/>
          <w:sz w:val="32"/>
          <w:szCs w:val="32"/>
        </w:rPr>
      </w:pPr>
    </w:p>
    <w:p w14:paraId="5BDCCA5E">
      <w:pPr>
        <w:spacing w:line="400" w:lineRule="exact"/>
        <w:rPr>
          <w:rFonts w:hint="eastAsia"/>
          <w:b/>
          <w:sz w:val="32"/>
          <w:szCs w:val="32"/>
        </w:rPr>
      </w:pPr>
    </w:p>
    <w:p w14:paraId="406A5D71">
      <w:pPr>
        <w:spacing w:line="400" w:lineRule="exact"/>
        <w:rPr>
          <w:rFonts w:hint="eastAsia"/>
          <w:b/>
          <w:sz w:val="32"/>
          <w:szCs w:val="32"/>
        </w:rPr>
      </w:pPr>
    </w:p>
    <w:p w14:paraId="3C6EA31A">
      <w:pPr>
        <w:spacing w:line="400" w:lineRule="exact"/>
        <w:rPr>
          <w:rFonts w:hint="eastAsia"/>
          <w:b/>
          <w:sz w:val="32"/>
          <w:szCs w:val="32"/>
        </w:rPr>
      </w:pPr>
    </w:p>
    <w:p w14:paraId="3503A6BB">
      <w:pPr>
        <w:spacing w:line="400" w:lineRule="exact"/>
        <w:rPr>
          <w:rFonts w:hint="eastAsia"/>
          <w:b/>
          <w:sz w:val="32"/>
          <w:szCs w:val="32"/>
        </w:rPr>
      </w:pPr>
    </w:p>
    <w:p w14:paraId="7ACAAEC1">
      <w:pPr>
        <w:spacing w:line="400" w:lineRule="exact"/>
        <w:rPr>
          <w:rFonts w:hint="eastAsia"/>
          <w:b/>
          <w:sz w:val="32"/>
          <w:szCs w:val="32"/>
        </w:rPr>
      </w:pPr>
    </w:p>
    <w:p w14:paraId="78CA41EA">
      <w:pPr>
        <w:spacing w:line="400" w:lineRule="exact"/>
        <w:rPr>
          <w:rFonts w:hint="eastAsia"/>
          <w:b/>
          <w:sz w:val="32"/>
          <w:szCs w:val="32"/>
        </w:rPr>
      </w:pPr>
    </w:p>
    <w:p w14:paraId="42042F3B">
      <w:pPr>
        <w:tabs>
          <w:tab w:val="left" w:pos="1080"/>
        </w:tabs>
        <w:spacing w:line="360" w:lineRule="auto"/>
        <w:ind w:firstLine="600" w:firstLineChars="250"/>
        <w:rPr>
          <w:rFonts w:hint="eastAsia" w:ascii="宋体" w:hAnsi="宋体" w:eastAsia="宋体" w:cs="Times New Roman"/>
          <w:szCs w:val="21"/>
        </w:rPr>
      </w:pPr>
      <w:r>
        <w:rPr>
          <w:sz w:val="24"/>
        </w:rPr>
        <w:br w:type="page"/>
      </w:r>
      <w:r>
        <w:rPr>
          <w:rFonts w:hint="eastAsia" w:ascii="宋体" w:hAnsi="宋体"/>
          <w:szCs w:val="21"/>
        </w:rPr>
        <w:t>甘肃酒钢集团宏兴钢铁股份有限公司</w:t>
      </w:r>
      <w:r>
        <w:rPr>
          <w:rFonts w:hint="eastAsia" w:ascii="宋体" w:hAnsi="宋体"/>
          <w:szCs w:val="21"/>
          <w:lang w:val="en-US" w:eastAsia="zh-CN"/>
        </w:rPr>
        <w:t>炼铁</w:t>
      </w:r>
      <w:r>
        <w:rPr>
          <w:rFonts w:hint="eastAsia" w:ascii="宋体" w:hAnsi="宋体"/>
          <w:szCs w:val="21"/>
        </w:rPr>
        <w:t>厂（以下称甲方）与</w:t>
      </w:r>
      <w:r>
        <w:rPr>
          <w:rFonts w:hint="eastAsia" w:ascii="宋体" w:hAnsi="宋体"/>
          <w:color w:val="FF0000"/>
          <w:szCs w:val="21"/>
        </w:rPr>
        <w:t xml:space="preserve">              </w:t>
      </w:r>
      <w:r>
        <w:rPr>
          <w:rFonts w:hint="eastAsia" w:ascii="宋体" w:hAnsi="宋体"/>
          <w:szCs w:val="21"/>
        </w:rPr>
        <w:t>（以下称乙方）就甲</w:t>
      </w:r>
      <w:r>
        <w:rPr>
          <w:rFonts w:hint="eastAsia" w:ascii="宋体" w:hAnsi="宋体" w:eastAsia="宋体" w:cs="Times New Roman"/>
          <w:szCs w:val="21"/>
          <w:lang w:val="en-US" w:eastAsia="zh-CN"/>
        </w:rPr>
        <w:t>方</w:t>
      </w:r>
      <w:r>
        <w:rPr>
          <w:rFonts w:hint="eastAsia" w:ascii="宋体" w:hAnsi="宋体" w:eastAsia="宋体" w:cs="Times New Roman"/>
          <w:szCs w:val="21"/>
        </w:rPr>
        <w:t>液下渣浆泵\100m3/h 12m 渣浆水 100YZ100-12-7.5Kw（带电机）采购经双方协商，达成如下技术协议：</w:t>
      </w:r>
    </w:p>
    <w:p w14:paraId="0E6C4357">
      <w:pPr>
        <w:spacing w:line="360" w:lineRule="auto"/>
        <w:rPr>
          <w:rFonts w:hint="eastAsia" w:ascii="宋体" w:hAnsi="宋体"/>
          <w:b/>
          <w:szCs w:val="21"/>
        </w:rPr>
      </w:pPr>
      <w:r>
        <w:rPr>
          <w:rFonts w:hint="eastAsia" w:ascii="宋体" w:hAnsi="宋体"/>
          <w:b/>
          <w:szCs w:val="21"/>
        </w:rPr>
        <w:t>附件一   总则</w:t>
      </w:r>
    </w:p>
    <w:p w14:paraId="510AA668">
      <w:pPr>
        <w:tabs>
          <w:tab w:val="left" w:pos="1080"/>
        </w:tabs>
        <w:spacing w:line="360" w:lineRule="auto"/>
        <w:ind w:firstLine="525" w:firstLineChars="250"/>
        <w:rPr>
          <w:rFonts w:hint="eastAsia" w:ascii="宋体" w:hAnsi="宋体"/>
          <w:szCs w:val="21"/>
        </w:rPr>
      </w:pPr>
      <w:r>
        <w:rPr>
          <w:rFonts w:hint="eastAsia" w:ascii="宋体" w:hAnsi="宋体"/>
          <w:szCs w:val="21"/>
        </w:rPr>
        <w:t>本技术协议作为甲方设备订货合同的附件，与订货合同同时生效，具有同等法律效力。合同执行期间双方再协商形成的补充协议和追加条款也具有同等法律效力。</w:t>
      </w:r>
    </w:p>
    <w:p w14:paraId="6D1CDFAF">
      <w:pPr>
        <w:numPr>
          <w:ilvl w:val="0"/>
          <w:numId w:val="1"/>
        </w:numPr>
        <w:tabs>
          <w:tab w:val="left" w:pos="540"/>
          <w:tab w:val="left" w:pos="720"/>
          <w:tab w:val="left" w:pos="1080"/>
        </w:tabs>
        <w:spacing w:line="360" w:lineRule="auto"/>
        <w:ind w:firstLine="525" w:firstLineChars="250"/>
        <w:rPr>
          <w:rFonts w:hint="eastAsia" w:ascii="宋体" w:hAnsi="宋体"/>
          <w:szCs w:val="21"/>
        </w:rPr>
      </w:pPr>
      <w:r>
        <w:rPr>
          <w:rFonts w:hint="eastAsia" w:ascii="宋体" w:hAnsi="宋体"/>
          <w:szCs w:val="21"/>
        </w:rPr>
        <w:t>本技术协议所提出的是最低标准的技术要求，并未对一切技术细节做出规定，也未充分引述有关标准和规范的条文，乙方应保证提供符合有关标准和技术文件的优质产品。</w:t>
      </w:r>
    </w:p>
    <w:p w14:paraId="6E0B3F73">
      <w:pPr>
        <w:numPr>
          <w:ilvl w:val="0"/>
          <w:numId w:val="1"/>
        </w:numPr>
        <w:tabs>
          <w:tab w:val="left" w:pos="540"/>
          <w:tab w:val="left" w:pos="720"/>
          <w:tab w:val="left" w:pos="1080"/>
        </w:tabs>
        <w:spacing w:line="360" w:lineRule="auto"/>
        <w:ind w:firstLine="525" w:firstLineChars="250"/>
        <w:rPr>
          <w:rFonts w:hint="eastAsia" w:ascii="宋体" w:hAnsi="宋体"/>
          <w:szCs w:val="21"/>
        </w:rPr>
      </w:pPr>
      <w:r>
        <w:rPr>
          <w:rFonts w:hint="eastAsia" w:ascii="宋体" w:hAnsi="宋体"/>
          <w:szCs w:val="21"/>
        </w:rPr>
        <w:t>乙方提供的设备必须具有国内同行业近几年内的先进制造水平，采用先进工艺，合格材料，成熟的技术或专利技术。</w:t>
      </w:r>
    </w:p>
    <w:p w14:paraId="4ED9B8AA">
      <w:pPr>
        <w:numPr>
          <w:ilvl w:val="0"/>
          <w:numId w:val="1"/>
        </w:numPr>
        <w:tabs>
          <w:tab w:val="left" w:pos="540"/>
          <w:tab w:val="left" w:pos="720"/>
          <w:tab w:val="left" w:pos="1080"/>
        </w:tabs>
        <w:spacing w:line="360" w:lineRule="auto"/>
        <w:ind w:firstLine="525" w:firstLineChars="250"/>
        <w:rPr>
          <w:rFonts w:hint="eastAsia" w:ascii="宋体" w:hAnsi="宋体"/>
          <w:szCs w:val="21"/>
        </w:rPr>
      </w:pPr>
      <w:r>
        <w:rPr>
          <w:rFonts w:hint="eastAsia" w:ascii="宋体" w:hAnsi="宋体"/>
          <w:szCs w:val="21"/>
        </w:rPr>
        <w:t>乙方提供的设备必须是全新、规范、先进的高质量可靠产品，能够确保连续稳定的工作。</w:t>
      </w:r>
    </w:p>
    <w:p w14:paraId="0B36F1FB">
      <w:pPr>
        <w:numPr>
          <w:ilvl w:val="0"/>
          <w:numId w:val="1"/>
        </w:numPr>
        <w:tabs>
          <w:tab w:val="left" w:pos="540"/>
          <w:tab w:val="left" w:pos="720"/>
          <w:tab w:val="left" w:pos="1080"/>
        </w:tabs>
        <w:spacing w:line="360" w:lineRule="auto"/>
        <w:ind w:firstLine="525" w:firstLineChars="250"/>
        <w:rPr>
          <w:rFonts w:hint="eastAsia" w:ascii="宋体" w:hAnsi="宋体"/>
          <w:szCs w:val="21"/>
        </w:rPr>
      </w:pPr>
      <w:r>
        <w:rPr>
          <w:rFonts w:hint="eastAsia" w:ascii="宋体" w:hAnsi="宋体"/>
          <w:szCs w:val="21"/>
        </w:rPr>
        <w:t>乙方提供货物的制造，材料的选择，都应按照国内外通用的现行标准和相应的技术规范执行，而这些标准和技术规范应为合同签字日为止最新公布发问的标准和技术规范。</w:t>
      </w:r>
    </w:p>
    <w:p w14:paraId="4DC528F3">
      <w:pPr>
        <w:numPr>
          <w:ilvl w:val="0"/>
          <w:numId w:val="1"/>
        </w:numPr>
        <w:tabs>
          <w:tab w:val="left" w:pos="540"/>
          <w:tab w:val="left" w:pos="720"/>
          <w:tab w:val="left" w:pos="1080"/>
        </w:tabs>
        <w:spacing w:line="360" w:lineRule="auto"/>
        <w:ind w:firstLine="525" w:firstLineChars="250"/>
        <w:rPr>
          <w:rFonts w:hint="eastAsia" w:ascii="宋体" w:hAnsi="宋体"/>
          <w:szCs w:val="21"/>
        </w:rPr>
      </w:pPr>
      <w:r>
        <w:rPr>
          <w:rFonts w:hint="eastAsia" w:ascii="宋体" w:hAnsi="宋体"/>
          <w:szCs w:val="21"/>
        </w:rPr>
        <w:t>乙方须对本次</w:t>
      </w:r>
      <w:r>
        <w:rPr>
          <w:rFonts w:hint="eastAsia" w:ascii="宋体" w:hAnsi="宋体"/>
          <w:szCs w:val="21"/>
          <w:lang w:eastAsia="zh-CN"/>
        </w:rPr>
        <w:t>水</w:t>
      </w:r>
      <w:r>
        <w:rPr>
          <w:rFonts w:hint="eastAsia" w:ascii="宋体" w:hAnsi="宋体"/>
          <w:szCs w:val="21"/>
        </w:rPr>
        <w:t>泵供货质量承担全部责任。</w:t>
      </w:r>
    </w:p>
    <w:p w14:paraId="30A68423">
      <w:pPr>
        <w:numPr>
          <w:ilvl w:val="1"/>
          <w:numId w:val="2"/>
        </w:numPr>
        <w:tabs>
          <w:tab w:val="left" w:pos="540"/>
          <w:tab w:val="left" w:pos="720"/>
        </w:tabs>
        <w:spacing w:line="360" w:lineRule="auto"/>
        <w:rPr>
          <w:rFonts w:hint="eastAsia" w:ascii="宋体" w:hAnsi="宋体"/>
          <w:szCs w:val="21"/>
        </w:rPr>
      </w:pPr>
      <w:r>
        <w:rPr>
          <w:rFonts w:hint="eastAsia" w:ascii="宋体" w:hAnsi="宋体"/>
          <w:szCs w:val="21"/>
        </w:rPr>
        <w:t xml:space="preserve">  乙方在合同货物制造中，发生侵犯专利的行为时其侵权责任与甲方无关。</w:t>
      </w:r>
    </w:p>
    <w:p w14:paraId="6122D04E">
      <w:pPr>
        <w:numPr>
          <w:ilvl w:val="0"/>
          <w:numId w:val="0"/>
        </w:numPr>
        <w:tabs>
          <w:tab w:val="left" w:pos="540"/>
          <w:tab w:val="left" w:pos="720"/>
          <w:tab w:val="left" w:pos="1080"/>
        </w:tabs>
        <w:spacing w:line="360" w:lineRule="auto"/>
        <w:ind w:leftChars="250"/>
        <w:rPr>
          <w:rFonts w:hint="eastAsia"/>
        </w:rPr>
      </w:pPr>
      <w:r>
        <w:rPr>
          <w:rFonts w:hint="eastAsia" w:ascii="宋体" w:hAnsi="宋体"/>
          <w:szCs w:val="21"/>
          <w:lang w:val="en-US" w:eastAsia="zh-CN"/>
        </w:rPr>
        <w:t xml:space="preserve">1.7  </w:t>
      </w:r>
      <w:r>
        <w:rPr>
          <w:rFonts w:hint="eastAsia" w:ascii="宋体" w:hAnsi="宋体"/>
          <w:szCs w:val="21"/>
        </w:rPr>
        <w:t>乙方在招标前，投标人应与甲方技术人员进行交流，呈报近</w:t>
      </w:r>
      <w:r>
        <w:rPr>
          <w:rFonts w:hint="eastAsia" w:ascii="宋体" w:hAnsi="宋体"/>
          <w:szCs w:val="21"/>
          <w:lang w:eastAsia="zh-CN"/>
        </w:rPr>
        <w:t>三</w:t>
      </w:r>
      <w:r>
        <w:rPr>
          <w:rFonts w:hint="eastAsia" w:ascii="宋体" w:hAnsi="宋体"/>
          <w:szCs w:val="21"/>
        </w:rPr>
        <w:t>年内同类设备或产品的供货业绩</w:t>
      </w:r>
      <w:r>
        <w:rPr>
          <w:rFonts w:hint="eastAsia" w:ascii="宋体" w:hAnsi="宋体"/>
          <w:szCs w:val="21"/>
          <w:lang w:val="en-US" w:eastAsia="zh-CN"/>
        </w:rPr>
        <w:t>3-5项</w:t>
      </w:r>
      <w:r>
        <w:rPr>
          <w:rFonts w:hint="eastAsia" w:ascii="宋体" w:hAnsi="宋体"/>
          <w:szCs w:val="21"/>
        </w:rPr>
        <w:t>，并提供相关的销售合同复印件。</w:t>
      </w:r>
      <w:r>
        <w:rPr>
          <w:rFonts w:hint="eastAsia" w:ascii="宋体" w:hAnsi="宋体"/>
          <w:szCs w:val="21"/>
          <w:lang w:eastAsia="zh-CN"/>
        </w:rPr>
        <w:t>经甲方技术人员审核</w:t>
      </w:r>
      <w:r>
        <w:rPr>
          <w:rFonts w:hint="eastAsia" w:ascii="宋体" w:hAnsi="宋体"/>
          <w:szCs w:val="21"/>
        </w:rPr>
        <w:t>符合甲方技术要求，双方签标前技术协议，方可参标。</w:t>
      </w:r>
    </w:p>
    <w:p w14:paraId="5533C369">
      <w:pPr>
        <w:spacing w:line="360" w:lineRule="auto"/>
        <w:rPr>
          <w:rFonts w:hint="eastAsia" w:ascii="宋体" w:hAnsi="宋体"/>
          <w:b/>
          <w:szCs w:val="21"/>
        </w:rPr>
      </w:pPr>
      <w:r>
        <w:rPr>
          <w:rFonts w:hint="eastAsia" w:ascii="宋体" w:hAnsi="宋体"/>
          <w:b/>
          <w:szCs w:val="21"/>
        </w:rPr>
        <w:t>附件二   制造要求</w:t>
      </w:r>
    </w:p>
    <w:p w14:paraId="72871648">
      <w:pPr>
        <w:spacing w:line="360" w:lineRule="auto"/>
        <w:ind w:firstLine="493" w:firstLineChars="235"/>
        <w:rPr>
          <w:rFonts w:ascii="宋体" w:hAnsi="宋体"/>
          <w:szCs w:val="21"/>
        </w:rPr>
      </w:pPr>
      <w:r>
        <w:rPr>
          <w:rFonts w:hint="eastAsia" w:ascii="宋体" w:hAnsi="宋体"/>
          <w:szCs w:val="21"/>
        </w:rPr>
        <w:t>2.1</w:t>
      </w:r>
      <w:r>
        <w:rPr>
          <w:rFonts w:ascii="宋体" w:hAnsi="宋体"/>
          <w:szCs w:val="21"/>
        </w:rPr>
        <w:t>安装环境</w:t>
      </w:r>
    </w:p>
    <w:p w14:paraId="310FEFA9">
      <w:pPr>
        <w:spacing w:line="360" w:lineRule="auto"/>
        <w:ind w:firstLine="493" w:firstLineChars="235"/>
        <w:rPr>
          <w:rFonts w:hint="default" w:ascii="宋体" w:hAnsi="宋体"/>
          <w:szCs w:val="21"/>
          <w:lang w:val="en-US"/>
        </w:rPr>
      </w:pPr>
      <w:r>
        <w:rPr>
          <w:rFonts w:hint="eastAsia" w:ascii="宋体" w:hAnsi="宋体"/>
          <w:szCs w:val="21"/>
        </w:rPr>
        <w:t>2.</w:t>
      </w:r>
      <w:r>
        <w:rPr>
          <w:rFonts w:ascii="宋体" w:hAnsi="宋体"/>
          <w:szCs w:val="21"/>
        </w:rPr>
        <w:t>1.1安装地点：</w:t>
      </w:r>
      <w:r>
        <w:rPr>
          <w:rFonts w:hint="eastAsia" w:ascii="宋体" w:hAnsi="宋体"/>
          <w:szCs w:val="21"/>
          <w:lang w:val="en-US" w:eastAsia="zh-CN"/>
        </w:rPr>
        <w:t>360</w:t>
      </w:r>
      <w:r>
        <w:rPr>
          <w:rFonts w:hint="eastAsia" w:ascii="宋体" w:hAnsi="宋体"/>
          <w:szCs w:val="21"/>
        </w:rPr>
        <w:t>m</w:t>
      </w:r>
      <w:r>
        <w:rPr>
          <w:rFonts w:hint="eastAsia" w:ascii="宋体" w:hAnsi="宋体"/>
          <w:sz w:val="21"/>
          <w:szCs w:val="21"/>
          <w:vertAlign w:val="superscript"/>
        </w:rPr>
        <w:t>2</w:t>
      </w:r>
      <w:r>
        <w:rPr>
          <w:rFonts w:hint="eastAsia" w:ascii="宋体" w:hAnsi="宋体"/>
          <w:szCs w:val="21"/>
        </w:rPr>
        <w:t>烧结机</w:t>
      </w:r>
      <w:r>
        <w:rPr>
          <w:rFonts w:hint="eastAsia" w:ascii="宋体" w:hAnsi="宋体"/>
          <w:szCs w:val="21"/>
          <w:lang w:val="en-US" w:eastAsia="zh-CN"/>
        </w:rPr>
        <w:t>1#2#环冷机北侧</w:t>
      </w:r>
    </w:p>
    <w:p w14:paraId="2CE9AEB9">
      <w:pPr>
        <w:spacing w:line="360" w:lineRule="auto"/>
        <w:ind w:firstLine="493" w:firstLineChars="235"/>
        <w:rPr>
          <w:rFonts w:hint="eastAsia" w:ascii="宋体" w:hAnsi="宋体" w:eastAsia="宋体"/>
          <w:szCs w:val="21"/>
          <w:lang w:eastAsia="zh-CN"/>
        </w:rPr>
      </w:pPr>
      <w:r>
        <w:rPr>
          <w:rFonts w:hint="eastAsia" w:ascii="宋体" w:hAnsi="宋体"/>
          <w:szCs w:val="21"/>
        </w:rPr>
        <w:t>2.</w:t>
      </w:r>
      <w:r>
        <w:rPr>
          <w:rFonts w:ascii="宋体" w:hAnsi="宋体"/>
          <w:szCs w:val="21"/>
        </w:rPr>
        <w:t>1.2使用环境：</w:t>
      </w:r>
      <w:r>
        <w:rPr>
          <w:rFonts w:hint="eastAsia" w:ascii="宋体" w:hAnsi="宋体"/>
          <w:szCs w:val="21"/>
        </w:rPr>
        <w:t>室</w:t>
      </w:r>
      <w:r>
        <w:rPr>
          <w:rFonts w:hint="eastAsia" w:ascii="宋体" w:hAnsi="宋体"/>
          <w:szCs w:val="21"/>
          <w:lang w:val="en-US" w:eastAsia="zh-CN"/>
        </w:rPr>
        <w:t>外</w:t>
      </w:r>
    </w:p>
    <w:p w14:paraId="3F8E4FF6">
      <w:pPr>
        <w:spacing w:line="360" w:lineRule="auto"/>
        <w:ind w:firstLine="493" w:firstLineChars="235"/>
        <w:rPr>
          <w:rFonts w:hint="eastAsia" w:ascii="宋体" w:hAnsi="宋体"/>
          <w:szCs w:val="21"/>
        </w:rPr>
      </w:pPr>
      <w:r>
        <w:rPr>
          <w:rFonts w:hint="eastAsia" w:ascii="宋体" w:hAnsi="宋体"/>
          <w:szCs w:val="21"/>
        </w:rPr>
        <w:t>2.</w:t>
      </w:r>
      <w:r>
        <w:rPr>
          <w:rFonts w:ascii="宋体" w:hAnsi="宋体"/>
          <w:szCs w:val="21"/>
        </w:rPr>
        <w:t>1.3现场海拔高度：1626m</w:t>
      </w:r>
    </w:p>
    <w:p w14:paraId="2BBDF353">
      <w:pPr>
        <w:pStyle w:val="12"/>
        <w:spacing w:before="0" w:beforeAutospacing="0" w:after="0" w:afterAutospacing="0" w:line="360" w:lineRule="auto"/>
        <w:ind w:left="567" w:leftChars="270"/>
        <w:jc w:val="both"/>
        <w:rPr>
          <w:rFonts w:hint="eastAsia"/>
          <w:sz w:val="21"/>
          <w:szCs w:val="21"/>
        </w:rPr>
      </w:pPr>
      <w:r>
        <w:rPr>
          <w:sz w:val="21"/>
          <w:szCs w:val="21"/>
        </w:rPr>
        <w:t xml:space="preserve">极端最高温度 </w:t>
      </w:r>
      <w:r>
        <w:rPr>
          <w:rFonts w:hint="eastAsia"/>
          <w:sz w:val="21"/>
          <w:szCs w:val="21"/>
        </w:rPr>
        <w:t xml:space="preserve">                                    </w:t>
      </w:r>
      <w:r>
        <w:rPr>
          <w:sz w:val="21"/>
          <w:szCs w:val="21"/>
        </w:rPr>
        <w:t>38.4</w:t>
      </w:r>
      <w:r>
        <w:rPr>
          <w:rFonts w:hint="eastAsia"/>
          <w:sz w:val="21"/>
          <w:szCs w:val="21"/>
        </w:rPr>
        <w:t>℃</w:t>
      </w:r>
      <w:r>
        <w:rPr>
          <w:rFonts w:cs="Times New Roman"/>
          <w:sz w:val="21"/>
          <w:szCs w:val="21"/>
        </w:rPr>
        <w:t xml:space="preserve"> </w:t>
      </w:r>
      <w:r>
        <w:rPr>
          <w:rFonts w:cs="Times New Roman"/>
          <w:sz w:val="21"/>
          <w:szCs w:val="21"/>
        </w:rPr>
        <w:br w:type="textWrapping"/>
      </w:r>
      <w:r>
        <w:rPr>
          <w:sz w:val="21"/>
          <w:szCs w:val="21"/>
        </w:rPr>
        <w:t xml:space="preserve">极端最底温度 </w:t>
      </w:r>
      <w:r>
        <w:rPr>
          <w:rFonts w:hint="eastAsia"/>
          <w:sz w:val="21"/>
          <w:szCs w:val="21"/>
        </w:rPr>
        <w:t xml:space="preserve">                                    </w:t>
      </w:r>
      <w:r>
        <w:rPr>
          <w:sz w:val="21"/>
          <w:szCs w:val="21"/>
        </w:rPr>
        <w:t>-31.6</w:t>
      </w:r>
      <w:r>
        <w:rPr>
          <w:rFonts w:hint="eastAsia"/>
          <w:sz w:val="21"/>
          <w:szCs w:val="21"/>
        </w:rPr>
        <w:t>℃</w:t>
      </w:r>
      <w:r>
        <w:rPr>
          <w:rFonts w:cs="Times New Roman"/>
          <w:sz w:val="21"/>
          <w:szCs w:val="21"/>
        </w:rPr>
        <w:t xml:space="preserve"> </w:t>
      </w:r>
      <w:r>
        <w:rPr>
          <w:rFonts w:cs="Times New Roman"/>
          <w:sz w:val="21"/>
          <w:szCs w:val="21"/>
        </w:rPr>
        <w:br w:type="textWrapping"/>
      </w:r>
      <w:r>
        <w:rPr>
          <w:sz w:val="21"/>
          <w:szCs w:val="21"/>
        </w:rPr>
        <w:t>最热月平均温度</w:t>
      </w:r>
      <w:r>
        <w:rPr>
          <w:rFonts w:hint="eastAsia"/>
          <w:sz w:val="21"/>
          <w:szCs w:val="21"/>
        </w:rPr>
        <w:t xml:space="preserve">                                  </w:t>
      </w:r>
      <w:r>
        <w:rPr>
          <w:sz w:val="21"/>
          <w:szCs w:val="21"/>
        </w:rPr>
        <w:t xml:space="preserve"> 28.7</w:t>
      </w:r>
      <w:r>
        <w:rPr>
          <w:rFonts w:hint="eastAsia"/>
          <w:sz w:val="21"/>
          <w:szCs w:val="21"/>
        </w:rPr>
        <w:t>℃</w:t>
      </w:r>
      <w:r>
        <w:rPr>
          <w:rFonts w:cs="Times New Roman"/>
          <w:sz w:val="21"/>
          <w:szCs w:val="21"/>
        </w:rPr>
        <w:t xml:space="preserve"> </w:t>
      </w:r>
      <w:r>
        <w:rPr>
          <w:rFonts w:cs="Times New Roman"/>
          <w:sz w:val="21"/>
          <w:szCs w:val="21"/>
        </w:rPr>
        <w:br w:type="textWrapping"/>
      </w:r>
      <w:r>
        <w:rPr>
          <w:sz w:val="21"/>
          <w:szCs w:val="21"/>
        </w:rPr>
        <w:t>最冷月平均温度</w:t>
      </w:r>
      <w:r>
        <w:rPr>
          <w:rFonts w:hint="eastAsia"/>
          <w:sz w:val="21"/>
          <w:szCs w:val="21"/>
        </w:rPr>
        <w:t xml:space="preserve">                                   </w:t>
      </w:r>
      <w:r>
        <w:rPr>
          <w:sz w:val="21"/>
          <w:szCs w:val="21"/>
        </w:rPr>
        <w:t>-15.6</w:t>
      </w:r>
      <w:r>
        <w:rPr>
          <w:rFonts w:hint="eastAsia"/>
          <w:sz w:val="21"/>
          <w:szCs w:val="21"/>
        </w:rPr>
        <w:t>℃</w:t>
      </w:r>
      <w:r>
        <w:rPr>
          <w:rFonts w:cs="Times New Roman"/>
          <w:sz w:val="21"/>
          <w:szCs w:val="21"/>
        </w:rPr>
        <w:t xml:space="preserve"> </w:t>
      </w:r>
      <w:r>
        <w:rPr>
          <w:rFonts w:cs="Times New Roman"/>
          <w:sz w:val="21"/>
          <w:szCs w:val="21"/>
        </w:rPr>
        <w:br w:type="textWrapping"/>
      </w:r>
      <w:r>
        <w:rPr>
          <w:sz w:val="21"/>
          <w:szCs w:val="21"/>
        </w:rPr>
        <w:t xml:space="preserve">年平均温度 </w:t>
      </w:r>
      <w:r>
        <w:rPr>
          <w:rFonts w:hint="eastAsia"/>
          <w:sz w:val="21"/>
          <w:szCs w:val="21"/>
        </w:rPr>
        <w:t xml:space="preserve">                                      </w:t>
      </w:r>
      <w:r>
        <w:rPr>
          <w:sz w:val="21"/>
          <w:szCs w:val="21"/>
        </w:rPr>
        <w:t>7.3</w:t>
      </w:r>
      <w:r>
        <w:rPr>
          <w:rFonts w:hint="eastAsia"/>
          <w:sz w:val="21"/>
          <w:szCs w:val="21"/>
        </w:rPr>
        <w:t>℃</w:t>
      </w:r>
      <w:r>
        <w:rPr>
          <w:rFonts w:cs="Times New Roman"/>
          <w:sz w:val="21"/>
          <w:szCs w:val="21"/>
        </w:rPr>
        <w:t xml:space="preserve"> </w:t>
      </w:r>
      <w:r>
        <w:rPr>
          <w:rFonts w:cs="Times New Roman"/>
          <w:sz w:val="21"/>
          <w:szCs w:val="21"/>
        </w:rPr>
        <w:br w:type="textWrapping"/>
      </w:r>
      <w:r>
        <w:rPr>
          <w:sz w:val="21"/>
          <w:szCs w:val="21"/>
        </w:rPr>
        <w:t>最大月平均日温差</w:t>
      </w:r>
      <w:r>
        <w:rPr>
          <w:rFonts w:hint="eastAsia"/>
          <w:sz w:val="21"/>
          <w:szCs w:val="21"/>
        </w:rPr>
        <w:t xml:space="preserve">                                 </w:t>
      </w:r>
      <w:r>
        <w:rPr>
          <w:sz w:val="21"/>
          <w:szCs w:val="21"/>
        </w:rPr>
        <w:t>14</w:t>
      </w:r>
      <w:r>
        <w:rPr>
          <w:rFonts w:hint="eastAsia"/>
          <w:sz w:val="21"/>
          <w:szCs w:val="21"/>
        </w:rPr>
        <w:t>℃</w:t>
      </w:r>
      <w:r>
        <w:rPr>
          <w:rFonts w:cs="Times New Roman"/>
          <w:sz w:val="21"/>
          <w:szCs w:val="21"/>
        </w:rPr>
        <w:t xml:space="preserve"> </w:t>
      </w:r>
      <w:r>
        <w:rPr>
          <w:rFonts w:cs="Times New Roman"/>
          <w:sz w:val="21"/>
          <w:szCs w:val="21"/>
        </w:rPr>
        <w:br w:type="textWrapping"/>
      </w:r>
      <w:r>
        <w:rPr>
          <w:sz w:val="21"/>
          <w:szCs w:val="21"/>
        </w:rPr>
        <w:t xml:space="preserve">最热月平均湿度 </w:t>
      </w:r>
      <w:r>
        <w:rPr>
          <w:rFonts w:hint="eastAsia"/>
          <w:sz w:val="21"/>
          <w:szCs w:val="21"/>
        </w:rPr>
        <w:t xml:space="preserve">                                  </w:t>
      </w:r>
      <w:r>
        <w:rPr>
          <w:sz w:val="21"/>
          <w:szCs w:val="21"/>
        </w:rPr>
        <w:t xml:space="preserve">52 % </w:t>
      </w:r>
      <w:r>
        <w:rPr>
          <w:sz w:val="21"/>
          <w:szCs w:val="21"/>
        </w:rPr>
        <w:br w:type="textWrapping"/>
      </w:r>
      <w:r>
        <w:rPr>
          <w:sz w:val="21"/>
          <w:szCs w:val="21"/>
        </w:rPr>
        <w:t xml:space="preserve">最冷月平均湿度 </w:t>
      </w:r>
      <w:r>
        <w:rPr>
          <w:rFonts w:hint="eastAsia"/>
          <w:sz w:val="21"/>
          <w:szCs w:val="21"/>
        </w:rPr>
        <w:t xml:space="preserve">                                  </w:t>
      </w:r>
      <w:r>
        <w:rPr>
          <w:sz w:val="21"/>
          <w:szCs w:val="21"/>
        </w:rPr>
        <w:t xml:space="preserve">55 % </w:t>
      </w:r>
      <w:r>
        <w:rPr>
          <w:sz w:val="21"/>
          <w:szCs w:val="21"/>
        </w:rPr>
        <w:br w:type="textWrapping"/>
      </w:r>
      <w:r>
        <w:rPr>
          <w:sz w:val="21"/>
          <w:szCs w:val="21"/>
        </w:rPr>
        <w:t xml:space="preserve">相对湿度 </w:t>
      </w:r>
      <w:r>
        <w:rPr>
          <w:rFonts w:hint="eastAsia"/>
          <w:sz w:val="21"/>
          <w:szCs w:val="21"/>
        </w:rPr>
        <w:t xml:space="preserve">                                        </w:t>
      </w:r>
      <w:r>
        <w:rPr>
          <w:sz w:val="21"/>
          <w:szCs w:val="21"/>
        </w:rPr>
        <w:t xml:space="preserve">46 % </w:t>
      </w:r>
      <w:r>
        <w:rPr>
          <w:sz w:val="21"/>
          <w:szCs w:val="21"/>
        </w:rPr>
        <w:br w:type="textWrapping"/>
      </w:r>
      <w:r>
        <w:rPr>
          <w:sz w:val="21"/>
          <w:szCs w:val="21"/>
        </w:rPr>
        <w:t>年平均降雨量</w:t>
      </w:r>
      <w:r>
        <w:rPr>
          <w:rFonts w:hint="eastAsia"/>
          <w:sz w:val="21"/>
          <w:szCs w:val="21"/>
        </w:rPr>
        <w:t xml:space="preserve">                                    </w:t>
      </w:r>
      <w:r>
        <w:rPr>
          <w:sz w:val="21"/>
          <w:szCs w:val="21"/>
        </w:rPr>
        <w:t xml:space="preserve"> 85.3mm </w:t>
      </w:r>
    </w:p>
    <w:p w14:paraId="2674CFF0">
      <w:pPr>
        <w:pStyle w:val="17"/>
        <w:spacing w:line="360" w:lineRule="auto"/>
        <w:jc w:val="left"/>
        <w:rPr>
          <w:rFonts w:hint="eastAsia" w:ascii="宋体" w:hAnsi="宋体"/>
          <w:szCs w:val="21"/>
        </w:rPr>
      </w:pPr>
      <w:r>
        <w:rPr>
          <w:rFonts w:hint="eastAsia" w:ascii="宋体" w:hAnsi="宋体" w:cs="Arial"/>
          <w:kern w:val="0"/>
          <w:szCs w:val="21"/>
        </w:rPr>
        <w:t xml:space="preserve">2.2  </w:t>
      </w:r>
      <w:r>
        <w:rPr>
          <w:rFonts w:hint="eastAsia" w:ascii="宋体" w:hAnsi="宋体" w:cs="Arial"/>
          <w:kern w:val="0"/>
          <w:szCs w:val="21"/>
          <w:lang w:eastAsia="zh-CN"/>
        </w:rPr>
        <w:t>水</w:t>
      </w:r>
      <w:r>
        <w:rPr>
          <w:rFonts w:hint="eastAsia" w:ascii="宋体" w:hAnsi="宋体" w:cs="Arial"/>
          <w:kern w:val="0"/>
          <w:szCs w:val="21"/>
        </w:rPr>
        <w:t>泵设计制造要求：</w:t>
      </w:r>
    </w:p>
    <w:p w14:paraId="1F38020F">
      <w:pPr>
        <w:pStyle w:val="17"/>
        <w:spacing w:line="360" w:lineRule="auto"/>
        <w:jc w:val="left"/>
        <w:rPr>
          <w:rFonts w:hint="eastAsia" w:ascii="宋体" w:hAnsi="宋体"/>
          <w:szCs w:val="21"/>
          <w:lang w:eastAsia="zh-CN"/>
        </w:rPr>
      </w:pPr>
      <w:r>
        <w:rPr>
          <w:rFonts w:hint="eastAsia" w:ascii="宋体" w:hAnsi="宋体" w:cs="Arial"/>
          <w:kern w:val="0"/>
          <w:szCs w:val="21"/>
        </w:rPr>
        <w:t>2.2.1、</w:t>
      </w:r>
      <w:r>
        <w:rPr>
          <w:rFonts w:hint="eastAsia" w:ascii="宋体" w:hAnsi="宋体"/>
          <w:szCs w:val="21"/>
        </w:rPr>
        <w:t>乙方中标后，需首先排技术人员到现场勘探工况条件，测绘现安装设备各部尺寸，确保提供制作的设备具备完全互换性要求</w:t>
      </w:r>
      <w:r>
        <w:rPr>
          <w:rFonts w:hint="eastAsia" w:ascii="宋体" w:hAnsi="宋体"/>
          <w:szCs w:val="21"/>
          <w:lang w:eastAsia="zh-CN"/>
        </w:rPr>
        <w:t>。</w:t>
      </w:r>
    </w:p>
    <w:p w14:paraId="1116834F">
      <w:pPr>
        <w:pStyle w:val="17"/>
        <w:spacing w:line="360" w:lineRule="auto"/>
        <w:jc w:val="left"/>
        <w:rPr>
          <w:rFonts w:hint="eastAsia" w:ascii="宋体" w:hAnsi="宋体" w:cs="Arial"/>
          <w:kern w:val="0"/>
          <w:szCs w:val="21"/>
          <w:lang w:val="en-US" w:eastAsia="zh-CN"/>
        </w:rPr>
      </w:pPr>
      <w:r>
        <w:rPr>
          <w:rFonts w:hint="eastAsia" w:ascii="宋体" w:hAnsi="宋体" w:cs="Arial"/>
          <w:kern w:val="0"/>
          <w:szCs w:val="21"/>
          <w:lang w:val="en-US" w:eastAsia="zh-CN"/>
        </w:rPr>
        <w:t>2.2.2、性能标准：额定流量 100m³/h、扬程 12m，偏差均不超过 ±5%；振动速度有效值≤4.5mm/s（额定工况），气蚀余量需满足稳定运行要求。</w:t>
      </w:r>
    </w:p>
    <w:p w14:paraId="0CF18E8E">
      <w:pPr>
        <w:pStyle w:val="17"/>
        <w:spacing w:line="360" w:lineRule="auto"/>
        <w:jc w:val="left"/>
        <w:rPr>
          <w:rFonts w:hint="eastAsia" w:ascii="宋体" w:hAnsi="宋体" w:cs="Arial"/>
          <w:kern w:val="0"/>
          <w:szCs w:val="21"/>
          <w:lang w:val="en-US" w:eastAsia="zh-CN"/>
        </w:rPr>
      </w:pPr>
      <w:r>
        <w:rPr>
          <w:rFonts w:hint="eastAsia" w:ascii="宋体" w:hAnsi="宋体" w:cs="Arial"/>
          <w:kern w:val="0"/>
          <w:szCs w:val="21"/>
          <w:lang w:val="en-US" w:eastAsia="zh-CN"/>
        </w:rPr>
        <w:t>2.2.3、材质标准：过流部件（叶轮、蜗壳等）需采用高铬合金等耐磨材质（如 KmTBCr26，含铬量≥26%，洛氏硬度 58-62），泵轴采用调质处理合金钢材，轴套选用 3Cr13/4Cr13 等材质。</w:t>
      </w:r>
    </w:p>
    <w:p w14:paraId="06AB6DB9">
      <w:pPr>
        <w:pStyle w:val="17"/>
        <w:spacing w:line="360" w:lineRule="auto"/>
        <w:jc w:val="left"/>
        <w:rPr>
          <w:rFonts w:hint="eastAsia" w:ascii="宋体" w:hAnsi="宋体" w:cs="Arial"/>
          <w:kern w:val="0"/>
          <w:szCs w:val="21"/>
          <w:lang w:val="en-US" w:eastAsia="zh-CN"/>
        </w:rPr>
      </w:pPr>
      <w:r>
        <w:rPr>
          <w:rFonts w:hint="eastAsia" w:ascii="宋体" w:hAnsi="宋体" w:cs="Arial"/>
          <w:kern w:val="0"/>
          <w:szCs w:val="21"/>
          <w:lang w:val="en-US" w:eastAsia="zh-CN"/>
        </w:rPr>
        <w:t>2.2.4、结构与密封标准：液下深度调整误差≤±5mm，轴封（机械密封 / 填料密封）无泄漏；采用立式电机，安装方式与泵体精准匹配，电机轴与泵轴同轴度误差不超过0.05m，电机配备防雨、防尘罩，确保恶劣环境下正常运行。配套电机型号需与泵体匹配，功率为7.5Kw，电压等级为380V，频率为50Hz，三相异步电机，电机防护等级≥IP54、绝缘等级为 F 级（需适应户外或潮湿环境）。</w:t>
      </w:r>
    </w:p>
    <w:p w14:paraId="5E7E7929">
      <w:pPr>
        <w:pStyle w:val="17"/>
        <w:spacing w:line="360" w:lineRule="auto"/>
        <w:jc w:val="left"/>
        <w:rPr>
          <w:rFonts w:hint="eastAsia" w:ascii="宋体" w:hAnsi="宋体" w:cs="Arial"/>
          <w:kern w:val="0"/>
          <w:szCs w:val="21"/>
          <w:lang w:val="en-US" w:eastAsia="zh-CN"/>
        </w:rPr>
      </w:pPr>
      <w:r>
        <w:rPr>
          <w:rFonts w:hint="eastAsia" w:ascii="宋体" w:hAnsi="宋体" w:cs="Arial"/>
          <w:kern w:val="0"/>
          <w:szCs w:val="21"/>
          <w:lang w:val="en-US" w:eastAsia="zh-CN"/>
        </w:rPr>
        <w:t>2.2.5、检验验收标准：出厂需完成外观、尺寸、性能（流量 / 扬程 / 效率）、密封、电机绝缘等全项目检测；到货验收核对数量、型号及技术文件完整性；安装调试后需通过额定工况性能测试。</w:t>
      </w:r>
    </w:p>
    <w:p w14:paraId="1AA26B9B">
      <w:pPr>
        <w:pStyle w:val="17"/>
        <w:spacing w:line="360" w:lineRule="auto"/>
        <w:jc w:val="left"/>
        <w:rPr>
          <w:rFonts w:hint="eastAsia" w:ascii="宋体" w:hAnsi="宋体" w:cs="Arial"/>
          <w:kern w:val="0"/>
          <w:szCs w:val="21"/>
          <w:lang w:val="sq-AL" w:eastAsia="zh-CN"/>
        </w:rPr>
      </w:pPr>
      <w:r>
        <w:rPr>
          <w:rFonts w:hint="eastAsia" w:ascii="宋体" w:hAnsi="宋体" w:cs="Arial"/>
          <w:kern w:val="0"/>
          <w:szCs w:val="21"/>
          <w:lang w:val="en-GB" w:eastAsia="zh-CN"/>
        </w:rPr>
        <w:t>2.2.</w:t>
      </w:r>
      <w:r>
        <w:rPr>
          <w:rFonts w:hint="eastAsia" w:ascii="宋体" w:hAnsi="宋体" w:cs="Arial"/>
          <w:kern w:val="0"/>
          <w:szCs w:val="21"/>
          <w:lang w:val="en-US" w:eastAsia="zh-CN"/>
        </w:rPr>
        <w:t>6</w:t>
      </w:r>
      <w:r>
        <w:rPr>
          <w:rFonts w:hint="eastAsia" w:ascii="宋体" w:hAnsi="宋体" w:cs="Arial"/>
          <w:kern w:val="0"/>
          <w:szCs w:val="21"/>
          <w:lang w:val="en-GB" w:eastAsia="zh-CN"/>
        </w:rPr>
        <w:t>、</w:t>
      </w:r>
      <w:r>
        <w:rPr>
          <w:rFonts w:hint="eastAsia" w:ascii="宋体" w:hAnsi="宋体" w:cs="Arial"/>
          <w:kern w:val="0"/>
          <w:szCs w:val="21"/>
          <w:lang w:val="sq-AL" w:eastAsia="zh-CN"/>
        </w:rPr>
        <w:t>水泵制作过程中必须符合相关国家标准要求。</w:t>
      </w:r>
    </w:p>
    <w:p w14:paraId="33F7FC62">
      <w:pPr>
        <w:pStyle w:val="17"/>
        <w:spacing w:line="360" w:lineRule="auto"/>
        <w:jc w:val="left"/>
        <w:rPr>
          <w:rFonts w:hint="eastAsia" w:ascii="宋体" w:hAnsi="宋体" w:cs="Arial"/>
          <w:kern w:val="0"/>
          <w:szCs w:val="21"/>
          <w:lang w:val="en-US" w:eastAsia="zh-CN"/>
        </w:rPr>
      </w:pPr>
      <w:r>
        <w:rPr>
          <w:rFonts w:hint="eastAsia" w:ascii="宋体" w:hAnsi="宋体" w:cs="Arial"/>
          <w:kern w:val="0"/>
          <w:szCs w:val="21"/>
          <w:lang w:val="en-US" w:eastAsia="zh-CN"/>
        </w:rPr>
        <w:t>设备及配件的设计、制造、检验需符合以下标准（包括但不限于）：</w:t>
      </w:r>
    </w:p>
    <w:p w14:paraId="70EF438D">
      <w:pPr>
        <w:pStyle w:val="17"/>
        <w:spacing w:line="360" w:lineRule="auto"/>
        <w:jc w:val="left"/>
        <w:rPr>
          <w:rFonts w:hint="eastAsia" w:ascii="宋体" w:hAnsi="宋体" w:cs="Arial"/>
          <w:kern w:val="0"/>
          <w:szCs w:val="21"/>
          <w:lang w:val="en-US" w:eastAsia="zh-CN"/>
        </w:rPr>
      </w:pPr>
      <w:r>
        <w:rPr>
          <w:rFonts w:hint="eastAsia" w:ascii="宋体" w:hAnsi="宋体" w:cs="Arial"/>
          <w:kern w:val="0"/>
          <w:szCs w:val="21"/>
          <w:lang w:val="en-US" w:eastAsia="zh-CN"/>
        </w:rPr>
        <w:t>·《离心泵 技术条件（Ⅰ类）》GB/T 16907-2014</w:t>
      </w:r>
    </w:p>
    <w:p w14:paraId="40750BFC">
      <w:pPr>
        <w:pStyle w:val="17"/>
        <w:spacing w:line="360" w:lineRule="auto"/>
        <w:jc w:val="left"/>
        <w:rPr>
          <w:rFonts w:hint="eastAsia" w:ascii="宋体" w:hAnsi="宋体" w:cs="Arial"/>
          <w:kern w:val="0"/>
          <w:szCs w:val="21"/>
          <w:lang w:val="en-US" w:eastAsia="zh-CN"/>
        </w:rPr>
      </w:pPr>
      <w:r>
        <w:rPr>
          <w:rFonts w:hint="eastAsia" w:ascii="宋体" w:hAnsi="宋体" w:cs="Arial"/>
          <w:kern w:val="0"/>
          <w:szCs w:val="21"/>
          <w:lang w:val="en-US" w:eastAsia="zh-CN"/>
        </w:rPr>
        <w:t>·《渣浆泵 技术条件》JB/T 8091-2013</w:t>
      </w:r>
    </w:p>
    <w:p w14:paraId="62C3BB1A">
      <w:pPr>
        <w:pStyle w:val="17"/>
        <w:spacing w:line="360" w:lineRule="auto"/>
        <w:jc w:val="left"/>
        <w:rPr>
          <w:rFonts w:hint="eastAsia" w:ascii="宋体" w:hAnsi="宋体" w:cs="Arial"/>
          <w:kern w:val="0"/>
          <w:szCs w:val="21"/>
          <w:lang w:val="en-US" w:eastAsia="zh-CN"/>
        </w:rPr>
      </w:pPr>
      <w:r>
        <w:rPr>
          <w:rFonts w:hint="eastAsia" w:ascii="宋体" w:hAnsi="宋体" w:cs="Arial"/>
          <w:kern w:val="0"/>
          <w:szCs w:val="21"/>
          <w:lang w:val="en-US" w:eastAsia="zh-CN"/>
        </w:rPr>
        <w:t>·《三相异步电动机 试验方法》GB/T 1032-2019</w:t>
      </w:r>
    </w:p>
    <w:p w14:paraId="53579D87">
      <w:pPr>
        <w:pStyle w:val="17"/>
        <w:spacing w:line="360" w:lineRule="auto"/>
        <w:jc w:val="left"/>
        <w:rPr>
          <w:rFonts w:hint="eastAsia" w:ascii="宋体" w:hAnsi="宋体" w:cs="Arial"/>
          <w:kern w:val="0"/>
          <w:szCs w:val="21"/>
          <w:lang w:val="en-US" w:eastAsia="zh-CN"/>
        </w:rPr>
      </w:pPr>
      <w:r>
        <w:rPr>
          <w:rFonts w:hint="eastAsia" w:ascii="宋体" w:hAnsi="宋体" w:cs="Arial"/>
          <w:kern w:val="0"/>
          <w:szCs w:val="21"/>
          <w:lang w:val="en-US" w:eastAsia="zh-CN"/>
        </w:rPr>
        <w:t>·国家及行业其他相关标准和规范</w:t>
      </w:r>
    </w:p>
    <w:p w14:paraId="12783C7B">
      <w:pPr>
        <w:pStyle w:val="17"/>
        <w:spacing w:line="360" w:lineRule="auto"/>
        <w:jc w:val="left"/>
        <w:rPr>
          <w:rFonts w:hint="eastAsia" w:ascii="宋体" w:hAnsi="宋体" w:cs="Arial"/>
          <w:kern w:val="0"/>
          <w:szCs w:val="21"/>
          <w:lang w:val="sq-AL" w:eastAsia="zh-CN"/>
        </w:rPr>
      </w:pPr>
      <w:r>
        <w:rPr>
          <w:rFonts w:hint="eastAsia" w:ascii="宋体" w:hAnsi="宋体" w:cs="Arial"/>
          <w:kern w:val="0"/>
          <w:szCs w:val="21"/>
          <w:lang w:val="en-US" w:eastAsia="zh-CN"/>
        </w:rPr>
        <w:t>乙方需确保设备为全新、未使用过的合格产品，无任何质量缺陷，零部件装配精准，运行稳定可靠。</w:t>
      </w:r>
    </w:p>
    <w:p w14:paraId="20029ECE">
      <w:pPr>
        <w:spacing w:line="360" w:lineRule="auto"/>
        <w:rPr>
          <w:rFonts w:hint="eastAsia" w:ascii="宋体" w:hAnsi="宋体"/>
          <w:b/>
          <w:spacing w:val="-4"/>
          <w:kern w:val="28"/>
          <w:szCs w:val="21"/>
        </w:rPr>
      </w:pPr>
      <w:r>
        <w:rPr>
          <w:rFonts w:hint="eastAsia" w:ascii="宋体" w:hAnsi="宋体"/>
          <w:b/>
          <w:spacing w:val="-4"/>
          <w:kern w:val="28"/>
          <w:szCs w:val="21"/>
        </w:rPr>
        <w:t>附件三</w:t>
      </w:r>
      <w:r>
        <w:rPr>
          <w:rFonts w:hint="eastAsia" w:ascii="宋体" w:hAnsi="宋体"/>
          <w:b/>
          <w:szCs w:val="21"/>
        </w:rPr>
        <w:t xml:space="preserve">   </w:t>
      </w:r>
      <w:r>
        <w:rPr>
          <w:rFonts w:hint="eastAsia" w:ascii="宋体" w:hAnsi="宋体"/>
          <w:b/>
          <w:spacing w:val="-4"/>
          <w:kern w:val="28"/>
          <w:szCs w:val="21"/>
        </w:rPr>
        <w:t>系统设施供货范围</w:t>
      </w:r>
    </w:p>
    <w:tbl>
      <w:tblPr>
        <w:tblStyle w:val="13"/>
        <w:tblW w:w="0" w:type="auto"/>
        <w:tblInd w:w="93" w:type="dxa"/>
        <w:tblLayout w:type="fixed"/>
        <w:tblCellMar>
          <w:top w:w="0" w:type="dxa"/>
          <w:left w:w="108" w:type="dxa"/>
          <w:bottom w:w="0" w:type="dxa"/>
          <w:right w:w="108" w:type="dxa"/>
        </w:tblCellMar>
      </w:tblPr>
      <w:tblGrid>
        <w:gridCol w:w="724"/>
        <w:gridCol w:w="2034"/>
        <w:gridCol w:w="1711"/>
        <w:gridCol w:w="406"/>
        <w:gridCol w:w="1094"/>
        <w:gridCol w:w="636"/>
        <w:gridCol w:w="783"/>
        <w:gridCol w:w="1965"/>
      </w:tblGrid>
      <w:tr w14:paraId="3F8F85EB">
        <w:tblPrEx>
          <w:tblCellMar>
            <w:top w:w="0" w:type="dxa"/>
            <w:left w:w="108" w:type="dxa"/>
            <w:bottom w:w="0" w:type="dxa"/>
            <w:right w:w="108" w:type="dxa"/>
          </w:tblCellMar>
        </w:tblPrEx>
        <w:trPr>
          <w:trHeight w:val="285" w:hRule="atLeast"/>
        </w:trPr>
        <w:tc>
          <w:tcPr>
            <w:tcW w:w="724" w:type="dxa"/>
            <w:vMerge w:val="restart"/>
            <w:tcBorders>
              <w:top w:val="single" w:color="auto" w:sz="8" w:space="0"/>
              <w:left w:val="single" w:color="auto" w:sz="8" w:space="0"/>
              <w:bottom w:val="single" w:color="000000" w:sz="8" w:space="0"/>
              <w:right w:val="single" w:color="auto" w:sz="8" w:space="0"/>
            </w:tcBorders>
            <w:noWrap w:val="0"/>
            <w:vAlign w:val="center"/>
          </w:tcPr>
          <w:p w14:paraId="304128B4">
            <w:pPr>
              <w:widowControl/>
              <w:jc w:val="center"/>
              <w:rPr>
                <w:rFonts w:ascii="宋体" w:hAnsi="宋体" w:cs="宋体"/>
                <w:color w:val="000000"/>
                <w:kern w:val="0"/>
                <w:szCs w:val="21"/>
              </w:rPr>
            </w:pPr>
            <w:r>
              <w:rPr>
                <w:rFonts w:hint="eastAsia" w:ascii="宋体" w:hAnsi="宋体" w:cs="宋体"/>
                <w:color w:val="000000"/>
                <w:kern w:val="0"/>
                <w:szCs w:val="21"/>
              </w:rPr>
              <w:t>序号</w:t>
            </w:r>
          </w:p>
        </w:tc>
        <w:tc>
          <w:tcPr>
            <w:tcW w:w="2034" w:type="dxa"/>
            <w:vMerge w:val="restart"/>
            <w:tcBorders>
              <w:top w:val="single" w:color="auto" w:sz="8" w:space="0"/>
              <w:left w:val="single" w:color="auto" w:sz="8" w:space="0"/>
              <w:bottom w:val="single" w:color="000000" w:sz="8" w:space="0"/>
              <w:right w:val="single" w:color="auto" w:sz="8" w:space="0"/>
            </w:tcBorders>
            <w:noWrap w:val="0"/>
            <w:vAlign w:val="center"/>
          </w:tcPr>
          <w:p w14:paraId="36869F6C">
            <w:pPr>
              <w:widowControl/>
              <w:jc w:val="center"/>
              <w:rPr>
                <w:rFonts w:ascii="宋体" w:hAnsi="宋体" w:cs="宋体"/>
                <w:color w:val="000000"/>
                <w:kern w:val="0"/>
                <w:szCs w:val="21"/>
              </w:rPr>
            </w:pPr>
            <w:r>
              <w:rPr>
                <w:rFonts w:hint="eastAsia" w:ascii="宋体" w:hAnsi="宋体" w:cs="宋体"/>
                <w:color w:val="000000"/>
                <w:kern w:val="0"/>
                <w:szCs w:val="21"/>
              </w:rPr>
              <w:t>型号</w:t>
            </w:r>
          </w:p>
        </w:tc>
        <w:tc>
          <w:tcPr>
            <w:tcW w:w="1711" w:type="dxa"/>
            <w:vMerge w:val="restart"/>
            <w:tcBorders>
              <w:top w:val="single" w:color="auto" w:sz="8" w:space="0"/>
              <w:left w:val="single" w:color="auto" w:sz="8" w:space="0"/>
              <w:bottom w:val="single" w:color="000000" w:sz="8" w:space="0"/>
              <w:right w:val="single" w:color="auto" w:sz="8" w:space="0"/>
            </w:tcBorders>
            <w:noWrap w:val="0"/>
            <w:vAlign w:val="center"/>
          </w:tcPr>
          <w:p w14:paraId="39B06253">
            <w:pPr>
              <w:widowControl/>
              <w:jc w:val="center"/>
              <w:rPr>
                <w:rFonts w:ascii="宋体" w:hAnsi="宋体" w:cs="宋体"/>
                <w:color w:val="000000"/>
                <w:kern w:val="0"/>
                <w:szCs w:val="21"/>
              </w:rPr>
            </w:pPr>
            <w:r>
              <w:rPr>
                <w:rFonts w:hint="eastAsia" w:ascii="宋体" w:hAnsi="宋体" w:cs="宋体"/>
                <w:color w:val="000000"/>
                <w:kern w:val="0"/>
                <w:szCs w:val="21"/>
              </w:rPr>
              <w:t>名称</w:t>
            </w:r>
          </w:p>
        </w:tc>
        <w:tc>
          <w:tcPr>
            <w:tcW w:w="406" w:type="dxa"/>
            <w:vMerge w:val="restart"/>
            <w:tcBorders>
              <w:top w:val="single" w:color="auto" w:sz="8" w:space="0"/>
              <w:left w:val="single" w:color="auto" w:sz="8" w:space="0"/>
              <w:bottom w:val="single" w:color="000000" w:sz="8" w:space="0"/>
              <w:right w:val="single" w:color="auto" w:sz="8" w:space="0"/>
            </w:tcBorders>
            <w:noWrap w:val="0"/>
            <w:vAlign w:val="center"/>
          </w:tcPr>
          <w:p w14:paraId="05B983BC">
            <w:pPr>
              <w:widowControl/>
              <w:jc w:val="center"/>
              <w:rPr>
                <w:rFonts w:ascii="宋体" w:hAnsi="宋体" w:cs="宋体"/>
                <w:color w:val="000000"/>
                <w:kern w:val="0"/>
                <w:szCs w:val="21"/>
              </w:rPr>
            </w:pPr>
            <w:r>
              <w:rPr>
                <w:rFonts w:hint="eastAsia" w:ascii="宋体" w:hAnsi="宋体" w:cs="宋体"/>
                <w:color w:val="000000"/>
                <w:kern w:val="0"/>
                <w:szCs w:val="21"/>
              </w:rPr>
              <w:t>数量</w:t>
            </w:r>
          </w:p>
        </w:tc>
        <w:tc>
          <w:tcPr>
            <w:tcW w:w="1094" w:type="dxa"/>
            <w:vMerge w:val="restart"/>
            <w:tcBorders>
              <w:top w:val="single" w:color="auto" w:sz="8" w:space="0"/>
              <w:left w:val="single" w:color="auto" w:sz="8" w:space="0"/>
              <w:bottom w:val="single" w:color="000000" w:sz="8" w:space="0"/>
              <w:right w:val="single" w:color="auto" w:sz="8" w:space="0"/>
            </w:tcBorders>
            <w:noWrap w:val="0"/>
            <w:vAlign w:val="center"/>
          </w:tcPr>
          <w:p w14:paraId="4049408A">
            <w:pPr>
              <w:widowControl/>
              <w:jc w:val="center"/>
              <w:rPr>
                <w:rFonts w:ascii="宋体" w:hAnsi="宋体" w:cs="宋体"/>
                <w:color w:val="000000"/>
                <w:kern w:val="0"/>
                <w:szCs w:val="21"/>
              </w:rPr>
            </w:pPr>
            <w:r>
              <w:rPr>
                <w:rFonts w:hint="eastAsia" w:ascii="宋体" w:hAnsi="宋体" w:cs="宋体"/>
                <w:color w:val="000000"/>
                <w:kern w:val="0"/>
                <w:szCs w:val="21"/>
              </w:rPr>
              <w:t>材料</w:t>
            </w:r>
          </w:p>
        </w:tc>
        <w:tc>
          <w:tcPr>
            <w:tcW w:w="1419" w:type="dxa"/>
            <w:gridSpan w:val="2"/>
            <w:tcBorders>
              <w:top w:val="single" w:color="auto" w:sz="8" w:space="0"/>
              <w:left w:val="nil"/>
              <w:bottom w:val="single" w:color="auto" w:sz="8" w:space="0"/>
              <w:right w:val="single" w:color="000000" w:sz="8" w:space="0"/>
            </w:tcBorders>
            <w:noWrap w:val="0"/>
            <w:vAlign w:val="center"/>
          </w:tcPr>
          <w:p w14:paraId="7DD87B47">
            <w:pPr>
              <w:widowControl/>
              <w:jc w:val="center"/>
              <w:rPr>
                <w:rFonts w:ascii="宋体" w:hAnsi="宋体" w:cs="宋体"/>
                <w:color w:val="000000"/>
                <w:kern w:val="0"/>
                <w:szCs w:val="21"/>
              </w:rPr>
            </w:pPr>
            <w:r>
              <w:rPr>
                <w:rFonts w:hint="eastAsia" w:ascii="宋体" w:hAnsi="宋体" w:cs="宋体"/>
                <w:color w:val="000000"/>
                <w:kern w:val="0"/>
                <w:szCs w:val="21"/>
              </w:rPr>
              <w:t>总质量（kg）</w:t>
            </w:r>
          </w:p>
        </w:tc>
        <w:tc>
          <w:tcPr>
            <w:tcW w:w="1965" w:type="dxa"/>
            <w:vMerge w:val="restart"/>
            <w:tcBorders>
              <w:top w:val="single" w:color="auto" w:sz="8" w:space="0"/>
              <w:left w:val="single" w:color="auto" w:sz="8" w:space="0"/>
              <w:bottom w:val="single" w:color="000000" w:sz="8" w:space="0"/>
              <w:right w:val="single" w:color="auto" w:sz="8" w:space="0"/>
            </w:tcBorders>
            <w:noWrap w:val="0"/>
            <w:vAlign w:val="center"/>
          </w:tcPr>
          <w:p w14:paraId="5FD6B254">
            <w:pPr>
              <w:widowControl/>
              <w:jc w:val="center"/>
              <w:rPr>
                <w:rFonts w:ascii="宋体" w:hAnsi="宋体" w:cs="宋体"/>
                <w:color w:val="000000"/>
                <w:kern w:val="0"/>
                <w:szCs w:val="21"/>
              </w:rPr>
            </w:pPr>
            <w:r>
              <w:rPr>
                <w:rFonts w:hint="eastAsia" w:ascii="宋体" w:hAnsi="宋体" w:cs="宋体"/>
                <w:color w:val="000000"/>
                <w:kern w:val="0"/>
                <w:szCs w:val="21"/>
              </w:rPr>
              <w:t>备注</w:t>
            </w:r>
          </w:p>
        </w:tc>
      </w:tr>
      <w:tr w14:paraId="2B3EA64B">
        <w:tblPrEx>
          <w:tblCellMar>
            <w:top w:w="0" w:type="dxa"/>
            <w:left w:w="108" w:type="dxa"/>
            <w:bottom w:w="0" w:type="dxa"/>
            <w:right w:w="108" w:type="dxa"/>
          </w:tblCellMar>
        </w:tblPrEx>
        <w:trPr>
          <w:trHeight w:val="285" w:hRule="atLeast"/>
        </w:trPr>
        <w:tc>
          <w:tcPr>
            <w:tcW w:w="724" w:type="dxa"/>
            <w:vMerge w:val="continue"/>
            <w:tcBorders>
              <w:top w:val="single" w:color="auto" w:sz="8" w:space="0"/>
              <w:left w:val="single" w:color="auto" w:sz="8" w:space="0"/>
              <w:bottom w:val="single" w:color="auto" w:sz="4" w:space="0"/>
              <w:right w:val="single" w:color="auto" w:sz="8" w:space="0"/>
            </w:tcBorders>
            <w:noWrap w:val="0"/>
            <w:vAlign w:val="center"/>
          </w:tcPr>
          <w:p w14:paraId="77F91296">
            <w:pPr>
              <w:widowControl/>
              <w:rPr>
                <w:rFonts w:ascii="宋体" w:hAnsi="宋体" w:cs="宋体"/>
                <w:color w:val="000000"/>
                <w:kern w:val="0"/>
                <w:szCs w:val="21"/>
              </w:rPr>
            </w:pPr>
          </w:p>
        </w:tc>
        <w:tc>
          <w:tcPr>
            <w:tcW w:w="2034" w:type="dxa"/>
            <w:vMerge w:val="continue"/>
            <w:tcBorders>
              <w:top w:val="single" w:color="auto" w:sz="8" w:space="0"/>
              <w:left w:val="single" w:color="auto" w:sz="8" w:space="0"/>
              <w:bottom w:val="single" w:color="auto" w:sz="4" w:space="0"/>
              <w:right w:val="single" w:color="auto" w:sz="8" w:space="0"/>
            </w:tcBorders>
            <w:noWrap w:val="0"/>
            <w:vAlign w:val="center"/>
          </w:tcPr>
          <w:p w14:paraId="19CBCB74">
            <w:pPr>
              <w:widowControl/>
              <w:rPr>
                <w:rFonts w:ascii="宋体" w:hAnsi="宋体" w:cs="宋体"/>
                <w:color w:val="000000"/>
                <w:kern w:val="0"/>
                <w:szCs w:val="21"/>
              </w:rPr>
            </w:pPr>
          </w:p>
        </w:tc>
        <w:tc>
          <w:tcPr>
            <w:tcW w:w="1711" w:type="dxa"/>
            <w:vMerge w:val="continue"/>
            <w:tcBorders>
              <w:top w:val="single" w:color="auto" w:sz="8" w:space="0"/>
              <w:left w:val="single" w:color="auto" w:sz="8" w:space="0"/>
              <w:bottom w:val="single" w:color="auto" w:sz="4" w:space="0"/>
              <w:right w:val="single" w:color="auto" w:sz="8" w:space="0"/>
            </w:tcBorders>
            <w:noWrap w:val="0"/>
            <w:vAlign w:val="center"/>
          </w:tcPr>
          <w:p w14:paraId="0E1CE899">
            <w:pPr>
              <w:widowControl/>
              <w:rPr>
                <w:rFonts w:ascii="宋体" w:hAnsi="宋体" w:cs="宋体"/>
                <w:color w:val="000000"/>
                <w:kern w:val="0"/>
                <w:szCs w:val="21"/>
              </w:rPr>
            </w:pPr>
          </w:p>
        </w:tc>
        <w:tc>
          <w:tcPr>
            <w:tcW w:w="406" w:type="dxa"/>
            <w:vMerge w:val="continue"/>
            <w:tcBorders>
              <w:top w:val="single" w:color="auto" w:sz="8" w:space="0"/>
              <w:left w:val="single" w:color="auto" w:sz="8" w:space="0"/>
              <w:bottom w:val="single" w:color="auto" w:sz="4" w:space="0"/>
              <w:right w:val="single" w:color="auto" w:sz="8" w:space="0"/>
            </w:tcBorders>
            <w:noWrap w:val="0"/>
            <w:vAlign w:val="center"/>
          </w:tcPr>
          <w:p w14:paraId="566B7ADD">
            <w:pPr>
              <w:widowControl/>
              <w:rPr>
                <w:rFonts w:ascii="宋体" w:hAnsi="宋体" w:cs="宋体"/>
                <w:color w:val="000000"/>
                <w:kern w:val="0"/>
                <w:szCs w:val="21"/>
              </w:rPr>
            </w:pPr>
          </w:p>
        </w:tc>
        <w:tc>
          <w:tcPr>
            <w:tcW w:w="1094" w:type="dxa"/>
            <w:vMerge w:val="continue"/>
            <w:tcBorders>
              <w:top w:val="single" w:color="auto" w:sz="8" w:space="0"/>
              <w:left w:val="single" w:color="auto" w:sz="8" w:space="0"/>
              <w:bottom w:val="single" w:color="auto" w:sz="4" w:space="0"/>
              <w:right w:val="single" w:color="auto" w:sz="8" w:space="0"/>
            </w:tcBorders>
            <w:noWrap w:val="0"/>
            <w:vAlign w:val="center"/>
          </w:tcPr>
          <w:p w14:paraId="2B6EC309">
            <w:pPr>
              <w:widowControl/>
              <w:rPr>
                <w:rFonts w:ascii="宋体" w:hAnsi="宋体" w:cs="宋体"/>
                <w:color w:val="000000"/>
                <w:kern w:val="0"/>
                <w:szCs w:val="21"/>
              </w:rPr>
            </w:pPr>
          </w:p>
        </w:tc>
        <w:tc>
          <w:tcPr>
            <w:tcW w:w="636" w:type="dxa"/>
            <w:tcBorders>
              <w:top w:val="nil"/>
              <w:left w:val="nil"/>
              <w:bottom w:val="single" w:color="auto" w:sz="4" w:space="0"/>
              <w:right w:val="single" w:color="auto" w:sz="8" w:space="0"/>
            </w:tcBorders>
            <w:noWrap w:val="0"/>
            <w:vAlign w:val="center"/>
          </w:tcPr>
          <w:p w14:paraId="225FE8C3">
            <w:pPr>
              <w:widowControl/>
              <w:rPr>
                <w:rFonts w:ascii="宋体" w:hAnsi="宋体" w:cs="宋体"/>
                <w:color w:val="000000"/>
                <w:kern w:val="0"/>
                <w:szCs w:val="21"/>
              </w:rPr>
            </w:pPr>
            <w:r>
              <w:rPr>
                <w:rFonts w:hint="eastAsia" w:ascii="宋体" w:hAnsi="宋体" w:cs="宋体"/>
                <w:color w:val="000000"/>
                <w:kern w:val="0"/>
                <w:szCs w:val="21"/>
              </w:rPr>
              <w:t>单重</w:t>
            </w:r>
          </w:p>
        </w:tc>
        <w:tc>
          <w:tcPr>
            <w:tcW w:w="783" w:type="dxa"/>
            <w:tcBorders>
              <w:top w:val="nil"/>
              <w:left w:val="nil"/>
              <w:bottom w:val="single" w:color="auto" w:sz="4" w:space="0"/>
              <w:right w:val="single" w:color="auto" w:sz="8" w:space="0"/>
            </w:tcBorders>
            <w:noWrap w:val="0"/>
            <w:vAlign w:val="center"/>
          </w:tcPr>
          <w:p w14:paraId="20D02BD7">
            <w:pPr>
              <w:widowControl/>
              <w:rPr>
                <w:rFonts w:ascii="宋体" w:hAnsi="宋体" w:cs="宋体"/>
                <w:color w:val="000000"/>
                <w:kern w:val="0"/>
                <w:szCs w:val="21"/>
              </w:rPr>
            </w:pPr>
            <w:r>
              <w:rPr>
                <w:rFonts w:hint="eastAsia" w:ascii="宋体" w:hAnsi="宋体" w:cs="宋体"/>
                <w:color w:val="000000"/>
                <w:kern w:val="0"/>
                <w:szCs w:val="21"/>
              </w:rPr>
              <w:t>总重</w:t>
            </w:r>
          </w:p>
        </w:tc>
        <w:tc>
          <w:tcPr>
            <w:tcW w:w="1965" w:type="dxa"/>
            <w:vMerge w:val="continue"/>
            <w:tcBorders>
              <w:top w:val="single" w:color="auto" w:sz="8" w:space="0"/>
              <w:left w:val="single" w:color="auto" w:sz="8" w:space="0"/>
              <w:bottom w:val="single" w:color="auto" w:sz="4" w:space="0"/>
              <w:right w:val="single" w:color="auto" w:sz="8" w:space="0"/>
            </w:tcBorders>
            <w:noWrap w:val="0"/>
            <w:vAlign w:val="center"/>
          </w:tcPr>
          <w:p w14:paraId="32878BC7">
            <w:pPr>
              <w:widowControl/>
              <w:rPr>
                <w:rFonts w:ascii="宋体" w:hAnsi="宋体" w:cs="宋体"/>
                <w:color w:val="000000"/>
                <w:kern w:val="0"/>
                <w:szCs w:val="21"/>
              </w:rPr>
            </w:pPr>
          </w:p>
        </w:tc>
      </w:tr>
      <w:tr w14:paraId="26E3C0BD">
        <w:tblPrEx>
          <w:tblCellMar>
            <w:top w:w="0" w:type="dxa"/>
            <w:left w:w="108" w:type="dxa"/>
            <w:bottom w:w="0" w:type="dxa"/>
            <w:right w:w="108" w:type="dxa"/>
          </w:tblCellMar>
        </w:tblPrEx>
        <w:trPr>
          <w:trHeight w:val="285" w:hRule="atLeast"/>
        </w:trPr>
        <w:tc>
          <w:tcPr>
            <w:tcW w:w="724" w:type="dxa"/>
            <w:tcBorders>
              <w:top w:val="single" w:color="auto" w:sz="4" w:space="0"/>
              <w:left w:val="single" w:color="auto" w:sz="4" w:space="0"/>
              <w:bottom w:val="single" w:color="auto" w:sz="4" w:space="0"/>
              <w:right w:val="single" w:color="auto" w:sz="8" w:space="0"/>
            </w:tcBorders>
            <w:noWrap w:val="0"/>
            <w:vAlign w:val="center"/>
          </w:tcPr>
          <w:p w14:paraId="7BA8834D">
            <w:pPr>
              <w:widowControl/>
              <w:jc w:val="center"/>
              <w:rPr>
                <w:rFonts w:ascii="宋体" w:hAnsi="宋体" w:cs="宋体"/>
                <w:color w:val="000000"/>
                <w:kern w:val="0"/>
                <w:szCs w:val="21"/>
              </w:rPr>
            </w:pPr>
            <w:r>
              <w:rPr>
                <w:rFonts w:hint="eastAsia" w:ascii="宋体" w:hAnsi="宋体" w:cs="宋体"/>
                <w:color w:val="000000"/>
                <w:kern w:val="0"/>
                <w:szCs w:val="21"/>
              </w:rPr>
              <w:t>1</w:t>
            </w:r>
          </w:p>
        </w:tc>
        <w:tc>
          <w:tcPr>
            <w:tcW w:w="2034" w:type="dxa"/>
            <w:tcBorders>
              <w:top w:val="single" w:color="auto" w:sz="4" w:space="0"/>
              <w:left w:val="nil"/>
              <w:bottom w:val="single" w:color="auto" w:sz="4" w:space="0"/>
              <w:right w:val="single" w:color="auto" w:sz="8" w:space="0"/>
            </w:tcBorders>
            <w:noWrap w:val="0"/>
            <w:vAlign w:val="center"/>
          </w:tcPr>
          <w:p w14:paraId="3DE7BC9F">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rPr>
              <w:t>100YZ100-12</w:t>
            </w:r>
            <w:r>
              <w:rPr>
                <w:rFonts w:hint="eastAsia" w:ascii="宋体" w:hAnsi="宋体" w:cs="宋体"/>
                <w:color w:val="000000"/>
                <w:kern w:val="0"/>
                <w:szCs w:val="21"/>
                <w:lang w:val="en-US" w:eastAsia="zh-CN"/>
              </w:rPr>
              <w:t>-7.5Kw</w:t>
            </w:r>
          </w:p>
        </w:tc>
        <w:tc>
          <w:tcPr>
            <w:tcW w:w="1711" w:type="dxa"/>
            <w:tcBorders>
              <w:top w:val="single" w:color="auto" w:sz="4" w:space="0"/>
              <w:left w:val="nil"/>
              <w:bottom w:val="single" w:color="auto" w:sz="4" w:space="0"/>
              <w:right w:val="single" w:color="auto" w:sz="8" w:space="0"/>
            </w:tcBorders>
            <w:noWrap w:val="0"/>
            <w:vAlign w:val="center"/>
          </w:tcPr>
          <w:p w14:paraId="08D53CD9">
            <w:pPr>
              <w:widowControl/>
              <w:jc w:val="center"/>
              <w:rPr>
                <w:rFonts w:ascii="宋体" w:hAnsi="宋体" w:cs="宋体"/>
                <w:color w:val="000000"/>
                <w:kern w:val="0"/>
                <w:szCs w:val="21"/>
              </w:rPr>
            </w:pPr>
            <w:r>
              <w:rPr>
                <w:rFonts w:hint="eastAsia" w:ascii="宋体" w:hAnsi="宋体" w:cs="宋体"/>
                <w:color w:val="000000"/>
                <w:kern w:val="0"/>
                <w:szCs w:val="21"/>
                <w:lang w:val="en-US" w:eastAsia="zh-CN"/>
              </w:rPr>
              <w:t>液下渣浆</w:t>
            </w:r>
            <w:r>
              <w:rPr>
                <w:rFonts w:hint="eastAsia" w:ascii="宋体" w:hAnsi="宋体" w:cs="宋体"/>
                <w:color w:val="000000"/>
                <w:kern w:val="0"/>
                <w:szCs w:val="21"/>
              </w:rPr>
              <w:t>泵</w:t>
            </w:r>
          </w:p>
        </w:tc>
        <w:tc>
          <w:tcPr>
            <w:tcW w:w="406" w:type="dxa"/>
            <w:tcBorders>
              <w:top w:val="single" w:color="auto" w:sz="4" w:space="0"/>
              <w:left w:val="nil"/>
              <w:bottom w:val="single" w:color="auto" w:sz="4" w:space="0"/>
              <w:right w:val="single" w:color="auto" w:sz="8" w:space="0"/>
            </w:tcBorders>
            <w:noWrap w:val="0"/>
            <w:vAlign w:val="center"/>
          </w:tcPr>
          <w:p w14:paraId="71E2D9AF">
            <w:pPr>
              <w:widowControl/>
              <w:jc w:val="center"/>
              <w:rPr>
                <w:rFonts w:hint="eastAsia" w:ascii="宋体" w:hAnsi="宋体" w:cs="宋体"/>
                <w:color w:val="000000"/>
                <w:kern w:val="0"/>
                <w:szCs w:val="21"/>
              </w:rPr>
            </w:pPr>
            <w:r>
              <w:rPr>
                <w:rFonts w:hint="eastAsia" w:ascii="宋体" w:hAnsi="宋体" w:cs="宋体"/>
                <w:color w:val="000000"/>
                <w:kern w:val="0"/>
                <w:szCs w:val="21"/>
              </w:rPr>
              <w:t>1</w:t>
            </w:r>
          </w:p>
        </w:tc>
        <w:tc>
          <w:tcPr>
            <w:tcW w:w="1094" w:type="dxa"/>
            <w:tcBorders>
              <w:top w:val="single" w:color="auto" w:sz="4" w:space="0"/>
              <w:left w:val="nil"/>
              <w:bottom w:val="single" w:color="auto" w:sz="4" w:space="0"/>
              <w:right w:val="single" w:color="auto" w:sz="8" w:space="0"/>
            </w:tcBorders>
            <w:noWrap w:val="0"/>
            <w:vAlign w:val="center"/>
          </w:tcPr>
          <w:p w14:paraId="5D96B43E">
            <w:pPr>
              <w:widowControl/>
              <w:jc w:val="center"/>
              <w:rPr>
                <w:rFonts w:ascii="宋体" w:hAnsi="宋体" w:cs="宋体"/>
                <w:color w:val="000000"/>
                <w:kern w:val="0"/>
                <w:szCs w:val="21"/>
              </w:rPr>
            </w:pPr>
            <w:r>
              <w:rPr>
                <w:rFonts w:hint="eastAsia" w:ascii="宋体" w:hAnsi="宋体" w:cs="宋体"/>
                <w:color w:val="000000"/>
                <w:kern w:val="0"/>
                <w:szCs w:val="21"/>
              </w:rPr>
              <w:t>成套</w:t>
            </w:r>
          </w:p>
        </w:tc>
        <w:tc>
          <w:tcPr>
            <w:tcW w:w="636" w:type="dxa"/>
            <w:tcBorders>
              <w:top w:val="single" w:color="auto" w:sz="4" w:space="0"/>
              <w:left w:val="nil"/>
              <w:bottom w:val="single" w:color="auto" w:sz="4" w:space="0"/>
              <w:right w:val="single" w:color="auto" w:sz="8" w:space="0"/>
            </w:tcBorders>
            <w:noWrap w:val="0"/>
            <w:vAlign w:val="center"/>
          </w:tcPr>
          <w:p w14:paraId="13A38F48">
            <w:pPr>
              <w:widowControl/>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w:t>
            </w:r>
          </w:p>
        </w:tc>
        <w:tc>
          <w:tcPr>
            <w:tcW w:w="783" w:type="dxa"/>
            <w:tcBorders>
              <w:top w:val="single" w:color="auto" w:sz="4" w:space="0"/>
              <w:left w:val="nil"/>
              <w:bottom w:val="single" w:color="auto" w:sz="4" w:space="0"/>
              <w:right w:val="single" w:color="auto" w:sz="8" w:space="0"/>
            </w:tcBorders>
            <w:noWrap w:val="0"/>
            <w:vAlign w:val="center"/>
          </w:tcPr>
          <w:p w14:paraId="14DCFDD1">
            <w:pPr>
              <w:widowControl/>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w:t>
            </w:r>
          </w:p>
        </w:tc>
        <w:tc>
          <w:tcPr>
            <w:tcW w:w="1965" w:type="dxa"/>
            <w:tcBorders>
              <w:top w:val="single" w:color="auto" w:sz="4" w:space="0"/>
              <w:left w:val="nil"/>
              <w:bottom w:val="single" w:color="auto" w:sz="4" w:space="0"/>
              <w:right w:val="single" w:color="auto" w:sz="4" w:space="0"/>
            </w:tcBorders>
            <w:noWrap w:val="0"/>
            <w:vAlign w:val="center"/>
          </w:tcPr>
          <w:p w14:paraId="057EE24E">
            <w:pPr>
              <w:widowControl/>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含电机</w:t>
            </w:r>
          </w:p>
        </w:tc>
      </w:tr>
    </w:tbl>
    <w:p w14:paraId="60F596DA">
      <w:pPr>
        <w:spacing w:line="360" w:lineRule="auto"/>
        <w:rPr>
          <w:rFonts w:hint="eastAsia" w:ascii="宋体" w:hAnsi="宋体" w:cs="宋体"/>
          <w:szCs w:val="21"/>
        </w:rPr>
      </w:pPr>
      <w:r>
        <w:rPr>
          <w:rFonts w:hint="eastAsia" w:ascii="宋体" w:hAnsi="宋体"/>
          <w:b/>
          <w:szCs w:val="21"/>
        </w:rPr>
        <w:t>附加说明</w:t>
      </w:r>
    </w:p>
    <w:p w14:paraId="3DA841F5">
      <w:pPr>
        <w:spacing w:line="400" w:lineRule="exact"/>
        <w:rPr>
          <w:rFonts w:hint="eastAsia" w:ascii="宋体" w:hAnsi="宋体"/>
          <w:szCs w:val="21"/>
        </w:rPr>
      </w:pPr>
      <w:r>
        <w:rPr>
          <w:rFonts w:hint="eastAsia" w:ascii="宋体" w:hAnsi="宋体"/>
          <w:b/>
          <w:bCs/>
          <w:szCs w:val="21"/>
        </w:rPr>
        <w:t>4、设备和材料的制造、检验及质量标准</w:t>
      </w:r>
    </w:p>
    <w:p w14:paraId="4491F22A">
      <w:pPr>
        <w:pStyle w:val="17"/>
        <w:spacing w:line="360" w:lineRule="auto"/>
        <w:jc w:val="left"/>
        <w:rPr>
          <w:rFonts w:hint="eastAsia" w:ascii="宋体" w:hAnsi="宋体" w:cs="Arial"/>
          <w:kern w:val="0"/>
          <w:szCs w:val="21"/>
          <w:lang w:val="en-GB" w:eastAsia="zh-CN"/>
        </w:rPr>
      </w:pPr>
      <w:r>
        <w:rPr>
          <w:rFonts w:hint="eastAsia" w:ascii="宋体" w:hAnsi="宋体" w:cs="Arial"/>
          <w:kern w:val="0"/>
          <w:szCs w:val="21"/>
          <w:lang w:val="en-GB" w:eastAsia="zh-CN"/>
        </w:rPr>
        <w:t>1）到货后甲方将设备上线使用，质保期内出现的质量问题及造成的损失，由乙方承担。</w:t>
      </w:r>
    </w:p>
    <w:p w14:paraId="02DEA1B9">
      <w:pPr>
        <w:pStyle w:val="17"/>
        <w:spacing w:line="360" w:lineRule="auto"/>
        <w:jc w:val="left"/>
        <w:rPr>
          <w:rFonts w:hint="eastAsia" w:ascii="宋体" w:hAnsi="宋体" w:cs="Arial"/>
          <w:kern w:val="0"/>
          <w:szCs w:val="21"/>
          <w:lang w:val="en-GB" w:eastAsia="zh-CN"/>
        </w:rPr>
      </w:pPr>
      <w:r>
        <w:rPr>
          <w:rFonts w:hint="eastAsia" w:ascii="宋体" w:hAnsi="宋体" w:cs="Arial"/>
          <w:kern w:val="0"/>
          <w:szCs w:val="21"/>
          <w:lang w:val="en-GB" w:eastAsia="zh-CN"/>
        </w:rPr>
        <w:t>2）需甲方参与的检验的项目，由乙方在检验前1周书面通知甲方。通知送达后1周，甲方未到且无书面答复时，视为甲方认可乙方自检结果。</w:t>
      </w:r>
    </w:p>
    <w:p w14:paraId="29DBFB8E">
      <w:pPr>
        <w:pStyle w:val="17"/>
        <w:spacing w:line="360" w:lineRule="auto"/>
        <w:jc w:val="left"/>
        <w:rPr>
          <w:rFonts w:hint="eastAsia" w:ascii="宋体" w:hAnsi="宋体" w:cs="Arial"/>
          <w:kern w:val="0"/>
          <w:szCs w:val="21"/>
          <w:lang w:val="en-GB" w:eastAsia="zh-CN"/>
        </w:rPr>
      </w:pPr>
      <w:r>
        <w:rPr>
          <w:rFonts w:hint="eastAsia" w:ascii="宋体" w:hAnsi="宋体" w:cs="Arial"/>
          <w:kern w:val="0"/>
          <w:szCs w:val="21"/>
          <w:lang w:val="en-GB" w:eastAsia="zh-CN"/>
        </w:rPr>
        <w:t>3)乙方负责按甲方需求及时发货,并对运输过程中造成的丢失、损坏等负责，不能以任何理由影响预定的交货期。</w:t>
      </w:r>
    </w:p>
    <w:p w14:paraId="759E996D">
      <w:pPr>
        <w:pStyle w:val="17"/>
        <w:spacing w:line="360" w:lineRule="auto"/>
        <w:jc w:val="left"/>
        <w:rPr>
          <w:rFonts w:hint="eastAsia" w:ascii="宋体" w:hAnsi="宋体" w:cs="Arial"/>
          <w:kern w:val="0"/>
          <w:szCs w:val="21"/>
          <w:lang w:val="en-GB" w:eastAsia="zh-CN"/>
        </w:rPr>
      </w:pPr>
      <w:r>
        <w:rPr>
          <w:rFonts w:hint="eastAsia" w:ascii="宋体" w:hAnsi="宋体" w:cs="Arial"/>
          <w:kern w:val="0"/>
          <w:szCs w:val="21"/>
          <w:lang w:val="en-GB" w:eastAsia="zh-CN"/>
        </w:rPr>
        <w:t>4) 乙方货物运抵甲方指定现场，甲方负责卸车、转运及仓储保管。</w:t>
      </w:r>
    </w:p>
    <w:p w14:paraId="22EDD420">
      <w:pPr>
        <w:tabs>
          <w:tab w:val="left" w:pos="0"/>
          <w:tab w:val="left" w:pos="900"/>
          <w:tab w:val="left" w:pos="1080"/>
        </w:tabs>
        <w:spacing w:line="360" w:lineRule="auto"/>
        <w:ind w:firstLine="457" w:firstLineChars="218"/>
        <w:rPr>
          <w:rFonts w:hint="eastAsia" w:ascii="宋体" w:hAnsi="宋体"/>
          <w:szCs w:val="21"/>
          <w:lang w:val="en-GB"/>
        </w:rPr>
      </w:pPr>
    </w:p>
    <w:p w14:paraId="4DED0472">
      <w:pPr>
        <w:tabs>
          <w:tab w:val="left" w:pos="0"/>
          <w:tab w:val="left" w:pos="900"/>
          <w:tab w:val="left" w:pos="1080"/>
        </w:tabs>
        <w:spacing w:line="360" w:lineRule="auto"/>
        <w:rPr>
          <w:rFonts w:hint="eastAsia" w:ascii="宋体" w:hAnsi="宋体"/>
          <w:b/>
          <w:szCs w:val="21"/>
        </w:rPr>
      </w:pPr>
      <w:r>
        <w:rPr>
          <w:rFonts w:hint="eastAsia" w:ascii="宋体" w:hAnsi="宋体"/>
          <w:b/>
          <w:szCs w:val="21"/>
        </w:rPr>
        <w:t>附件四   提供资料</w:t>
      </w:r>
    </w:p>
    <w:p w14:paraId="1A12D5B9">
      <w:pPr>
        <w:tabs>
          <w:tab w:val="left" w:pos="540"/>
          <w:tab w:val="left" w:pos="1080"/>
        </w:tabs>
        <w:spacing w:line="360" w:lineRule="auto"/>
        <w:ind w:left="-23" w:firstLine="142" w:firstLineChars="68"/>
        <w:outlineLvl w:val="0"/>
        <w:rPr>
          <w:rFonts w:hint="eastAsia" w:ascii="宋体" w:hAnsi="宋体"/>
          <w:color w:val="000000"/>
          <w:szCs w:val="21"/>
        </w:rPr>
      </w:pPr>
      <w:r>
        <w:rPr>
          <w:rFonts w:hint="eastAsia" w:ascii="宋体" w:hAnsi="宋体"/>
          <w:color w:val="000000"/>
          <w:szCs w:val="21"/>
        </w:rPr>
        <w:t>4.1</w:t>
      </w:r>
      <w:r>
        <w:rPr>
          <w:rFonts w:hint="eastAsia" w:ascii="宋体" w:hAnsi="宋体"/>
          <w:szCs w:val="21"/>
        </w:rPr>
        <w:t>甲方在中标后向乙方提以下资料：无</w:t>
      </w:r>
    </w:p>
    <w:p w14:paraId="3D758C0F">
      <w:pPr>
        <w:spacing w:line="360" w:lineRule="auto"/>
        <w:ind w:firstLine="119" w:firstLineChars="57"/>
        <w:rPr>
          <w:rFonts w:hint="eastAsia" w:eastAsia="宋体"/>
          <w:lang w:eastAsia="zh-CN"/>
        </w:rPr>
      </w:pPr>
      <w:r>
        <w:rPr>
          <w:rFonts w:hint="eastAsia" w:ascii="宋体" w:hAnsi="宋体"/>
          <w:color w:val="000000"/>
          <w:szCs w:val="21"/>
        </w:rPr>
        <w:t>4.2乙方在</w:t>
      </w:r>
      <w:r>
        <w:rPr>
          <w:rFonts w:hint="eastAsia" w:ascii="宋体" w:hAnsi="宋体"/>
          <w:szCs w:val="21"/>
        </w:rPr>
        <w:t>中标后10</w:t>
      </w:r>
      <w:r>
        <w:rPr>
          <w:rFonts w:hint="eastAsia" w:ascii="宋体" w:hAnsi="宋体"/>
          <w:color w:val="000000"/>
          <w:szCs w:val="21"/>
        </w:rPr>
        <w:t>天内到现场测绘外型尺寸图、安装尺寸图，</w:t>
      </w:r>
      <w:r>
        <w:rPr>
          <w:rFonts w:hint="eastAsia" w:ascii="宋体" w:hAnsi="宋体" w:eastAsia="宋体" w:cs="Times New Roman"/>
          <w:color w:val="000000"/>
          <w:szCs w:val="21"/>
          <w:lang w:val="en-US" w:eastAsia="zh-CN"/>
        </w:rPr>
        <w:t>备件图纸(含各零部件详细图纸、易损件清单)</w:t>
      </w:r>
      <w:r>
        <w:rPr>
          <w:rFonts w:hint="eastAsia" w:ascii="宋体" w:hAnsi="宋体"/>
          <w:color w:val="000000"/>
          <w:szCs w:val="21"/>
        </w:rPr>
        <w:t>并将最终纸版及电子版资料提供给甲方，用以核实设备互换性</w:t>
      </w:r>
      <w:r>
        <w:rPr>
          <w:rFonts w:hint="eastAsia" w:ascii="宋体" w:hAnsi="宋体"/>
          <w:color w:val="000000"/>
          <w:szCs w:val="21"/>
          <w:lang w:eastAsia="zh-CN"/>
        </w:rPr>
        <w:t>。</w:t>
      </w:r>
    </w:p>
    <w:p w14:paraId="1D2E97D4">
      <w:pPr>
        <w:pStyle w:val="6"/>
        <w:spacing w:line="360" w:lineRule="auto"/>
        <w:ind w:firstLine="119" w:firstLineChars="57"/>
        <w:rPr>
          <w:rFonts w:hint="eastAsia" w:hAnsi="宋体"/>
          <w:color w:val="000000"/>
          <w:szCs w:val="21"/>
        </w:rPr>
      </w:pPr>
      <w:r>
        <w:rPr>
          <w:rFonts w:hint="eastAsia" w:hAnsi="宋体"/>
          <w:color w:val="000000"/>
          <w:szCs w:val="21"/>
        </w:rPr>
        <w:t>4.</w:t>
      </w:r>
      <w:r>
        <w:rPr>
          <w:rFonts w:hint="eastAsia" w:hAnsi="宋体"/>
          <w:color w:val="000000"/>
          <w:szCs w:val="21"/>
          <w:lang w:eastAsia="zh-CN"/>
        </w:rPr>
        <w:t>3资料</w:t>
      </w:r>
      <w:r>
        <w:rPr>
          <w:rFonts w:hint="eastAsia" w:hAnsi="宋体"/>
          <w:szCs w:val="21"/>
        </w:rPr>
        <w:t>邮寄地址</w:t>
      </w:r>
    </w:p>
    <w:p w14:paraId="474994CB">
      <w:pPr>
        <w:pStyle w:val="6"/>
        <w:spacing w:line="360" w:lineRule="auto"/>
        <w:ind w:firstLine="539" w:firstLineChars="257"/>
        <w:rPr>
          <w:rFonts w:hint="eastAsia" w:hAnsi="宋体"/>
          <w:szCs w:val="21"/>
          <w:lang w:eastAsia="zh-CN"/>
        </w:rPr>
      </w:pPr>
      <w:r>
        <w:rPr>
          <w:rFonts w:hint="eastAsia" w:hAnsi="宋体"/>
          <w:szCs w:val="21"/>
        </w:rPr>
        <w:t>甲方邮寄信息：甘肃省嘉峪关市酒泉钢铁集团宏兴钢铁股份有限公司</w:t>
      </w:r>
      <w:r>
        <w:rPr>
          <w:rFonts w:hint="eastAsia" w:hAnsi="宋体"/>
          <w:szCs w:val="21"/>
          <w:lang w:val="en-US" w:eastAsia="zh-CN"/>
        </w:rPr>
        <w:t>炼铁</w:t>
      </w:r>
      <w:r>
        <w:rPr>
          <w:rFonts w:hint="eastAsia" w:hAnsi="宋体"/>
          <w:szCs w:val="21"/>
        </w:rPr>
        <w:t>厂</w:t>
      </w:r>
      <w:r>
        <w:rPr>
          <w:rFonts w:hint="eastAsia" w:hAnsi="宋体"/>
          <w:szCs w:val="21"/>
          <w:lang w:eastAsia="zh-CN"/>
        </w:rPr>
        <w:t>；</w:t>
      </w:r>
    </w:p>
    <w:p w14:paraId="2DA38354">
      <w:pPr>
        <w:pStyle w:val="6"/>
        <w:spacing w:line="360" w:lineRule="auto"/>
        <w:ind w:firstLine="539" w:firstLineChars="257"/>
        <w:rPr>
          <w:rFonts w:hint="eastAsia" w:hAnsi="宋体"/>
          <w:szCs w:val="21"/>
        </w:rPr>
      </w:pPr>
      <w:r>
        <w:rPr>
          <w:rFonts w:hint="eastAsia" w:hAnsi="宋体"/>
          <w:szCs w:val="21"/>
        </w:rPr>
        <w:t>邮政编码：735100；</w:t>
      </w:r>
    </w:p>
    <w:p w14:paraId="52439AB8">
      <w:pPr>
        <w:pStyle w:val="6"/>
        <w:spacing w:line="360" w:lineRule="auto"/>
        <w:ind w:firstLine="539" w:firstLineChars="257"/>
        <w:rPr>
          <w:rFonts w:hint="default" w:hAnsi="宋体"/>
          <w:szCs w:val="21"/>
          <w:lang w:val="en-US" w:eastAsia="zh-CN"/>
        </w:rPr>
      </w:pPr>
      <w:r>
        <w:rPr>
          <w:rFonts w:hint="eastAsia" w:hAnsi="宋体"/>
          <w:szCs w:val="21"/>
          <w:lang w:val="en-US" w:eastAsia="zh-CN"/>
        </w:rPr>
        <w:t>技术协议咨询联系人</w:t>
      </w:r>
      <w:r>
        <w:rPr>
          <w:rFonts w:hint="eastAsia" w:hAnsi="宋体"/>
          <w:szCs w:val="21"/>
          <w:lang w:eastAsia="zh-CN"/>
        </w:rPr>
        <w:t>：</w:t>
      </w:r>
      <w:r>
        <w:rPr>
          <w:rFonts w:hint="eastAsia" w:hAnsi="宋体"/>
          <w:szCs w:val="21"/>
          <w:lang w:val="en-US" w:eastAsia="zh-CN"/>
        </w:rPr>
        <w:t>喻智君  联系电话：18298976019</w:t>
      </w:r>
    </w:p>
    <w:p w14:paraId="03C3E2A5">
      <w:pPr>
        <w:spacing w:line="360" w:lineRule="auto"/>
        <w:rPr>
          <w:rFonts w:hint="eastAsia" w:ascii="宋体" w:hAnsi="宋体"/>
          <w:b/>
          <w:szCs w:val="21"/>
        </w:rPr>
      </w:pPr>
      <w:r>
        <w:rPr>
          <w:rFonts w:hint="eastAsia" w:ascii="宋体" w:hAnsi="宋体"/>
          <w:b/>
          <w:szCs w:val="21"/>
        </w:rPr>
        <w:t>附件五   售后服务</w:t>
      </w:r>
    </w:p>
    <w:p w14:paraId="5568F8E3">
      <w:pPr>
        <w:pStyle w:val="6"/>
        <w:spacing w:line="360" w:lineRule="auto"/>
        <w:ind w:firstLine="539" w:firstLineChars="257"/>
        <w:rPr>
          <w:rFonts w:hint="eastAsia" w:hAnsi="宋体"/>
          <w:szCs w:val="21"/>
        </w:rPr>
      </w:pPr>
      <w:r>
        <w:rPr>
          <w:rFonts w:hint="eastAsia" w:hAnsi="宋体"/>
          <w:szCs w:val="21"/>
        </w:rPr>
        <w:t>5.1质量保证项目：</w:t>
      </w:r>
      <w:r>
        <w:rPr>
          <w:rFonts w:hint="eastAsia" w:hAnsi="宋体"/>
          <w:szCs w:val="21"/>
          <w:lang w:eastAsia="zh-CN"/>
        </w:rPr>
        <w:t>水泵整机使</w:t>
      </w:r>
      <w:bookmarkStart w:id="0" w:name="_GoBack"/>
      <w:bookmarkEnd w:id="0"/>
      <w:r>
        <w:rPr>
          <w:rFonts w:hint="eastAsia" w:hAnsi="宋体"/>
          <w:szCs w:val="21"/>
          <w:lang w:eastAsia="zh-CN"/>
        </w:rPr>
        <w:t>用寿命</w:t>
      </w:r>
      <w:r>
        <w:rPr>
          <w:rFonts w:hint="eastAsia" w:hAnsi="宋体"/>
          <w:szCs w:val="21"/>
          <w:lang w:val="en-US" w:eastAsia="zh-CN"/>
        </w:rPr>
        <w:t>2</w:t>
      </w:r>
      <w:r>
        <w:rPr>
          <w:rFonts w:hint="eastAsia" w:hAnsi="宋体"/>
          <w:szCs w:val="21"/>
          <w:lang w:eastAsia="zh-CN"/>
        </w:rPr>
        <w:t>年以上，在正常使用情况下，</w:t>
      </w:r>
      <w:r>
        <w:rPr>
          <w:rFonts w:hint="eastAsia" w:hAnsi="宋体"/>
          <w:szCs w:val="21"/>
          <w:lang w:val="en-US" w:eastAsia="zh-CN"/>
        </w:rPr>
        <w:t>1</w:t>
      </w:r>
      <w:r>
        <w:rPr>
          <w:rFonts w:hint="eastAsia" w:hAnsi="宋体"/>
          <w:szCs w:val="21"/>
          <w:lang w:eastAsia="zh-CN"/>
        </w:rPr>
        <w:t>年内不得出现各部轴承、密封件损坏，叶轮、蜗壳气蚀、磨损超过本体厚度20%。（</w:t>
      </w:r>
      <w:r>
        <w:rPr>
          <w:rFonts w:hint="eastAsia" w:hAnsi="宋体"/>
          <w:szCs w:val="21"/>
        </w:rPr>
        <w:t>从</w:t>
      </w:r>
      <w:r>
        <w:rPr>
          <w:rFonts w:hint="eastAsia" w:hAnsi="宋体"/>
          <w:szCs w:val="21"/>
          <w:lang w:eastAsia="zh-CN"/>
        </w:rPr>
        <w:t>设备</w:t>
      </w:r>
      <w:r>
        <w:rPr>
          <w:rFonts w:hint="eastAsia" w:hAnsi="宋体"/>
          <w:szCs w:val="21"/>
        </w:rPr>
        <w:t>安装</w:t>
      </w:r>
      <w:r>
        <w:rPr>
          <w:rFonts w:hint="eastAsia" w:hAnsi="宋体"/>
          <w:szCs w:val="21"/>
          <w:lang w:eastAsia="zh-CN"/>
        </w:rPr>
        <w:t>上线</w:t>
      </w:r>
      <w:r>
        <w:rPr>
          <w:rFonts w:hint="eastAsia" w:hAnsi="宋体"/>
          <w:szCs w:val="21"/>
        </w:rPr>
        <w:t>之日起算）。</w:t>
      </w:r>
    </w:p>
    <w:p w14:paraId="63A0BB4A">
      <w:pPr>
        <w:pStyle w:val="6"/>
        <w:spacing w:line="360" w:lineRule="auto"/>
        <w:ind w:firstLine="539" w:firstLineChars="257"/>
        <w:rPr>
          <w:rFonts w:hint="eastAsia" w:hAnsi="宋体"/>
          <w:szCs w:val="21"/>
        </w:rPr>
      </w:pPr>
      <w:r>
        <w:rPr>
          <w:rFonts w:hint="eastAsia" w:hAnsi="宋体"/>
          <w:szCs w:val="21"/>
        </w:rPr>
        <w:t>5.2保质期内，凡是由于设备质量问题引起的损坏，乙方在接到通知24小时内到达现场，无偿负责维修恢复原有的功能，同时无偿提供设备备件1套。</w:t>
      </w:r>
    </w:p>
    <w:p w14:paraId="71254DB9">
      <w:pPr>
        <w:pStyle w:val="6"/>
        <w:spacing w:line="360" w:lineRule="auto"/>
        <w:ind w:firstLine="539" w:firstLineChars="257"/>
        <w:rPr>
          <w:rFonts w:hint="eastAsia" w:hAnsi="宋体"/>
          <w:szCs w:val="21"/>
        </w:rPr>
      </w:pPr>
      <w:r>
        <w:rPr>
          <w:rFonts w:hint="eastAsia" w:hAnsi="宋体"/>
          <w:szCs w:val="21"/>
        </w:rPr>
        <w:t>5.3设备因甲方人为原因出现损坏，按甲方通知，乙方积极配合甲方维修处理，优先、及时提供备件，费用由甲方承担。</w:t>
      </w:r>
    </w:p>
    <w:p w14:paraId="6CFBFA9D">
      <w:pPr>
        <w:tabs>
          <w:tab w:val="left" w:pos="0"/>
          <w:tab w:val="left" w:pos="720"/>
          <w:tab w:val="left" w:pos="900"/>
          <w:tab w:val="left" w:pos="1080"/>
        </w:tabs>
        <w:spacing w:line="360" w:lineRule="auto"/>
        <w:rPr>
          <w:rFonts w:hint="eastAsia" w:ascii="宋体" w:hAnsi="宋体"/>
          <w:b/>
          <w:szCs w:val="21"/>
        </w:rPr>
      </w:pPr>
      <w:r>
        <w:rPr>
          <w:rFonts w:hint="eastAsia" w:ascii="宋体" w:hAnsi="宋体"/>
          <w:b/>
          <w:szCs w:val="21"/>
        </w:rPr>
        <w:t>附件六   交货时间及地点</w:t>
      </w:r>
    </w:p>
    <w:p w14:paraId="3CFAFAEC">
      <w:pPr>
        <w:numPr>
          <w:ilvl w:val="2"/>
          <w:numId w:val="3"/>
        </w:numPr>
        <w:tabs>
          <w:tab w:val="left" w:pos="-180"/>
          <w:tab w:val="left" w:pos="-120"/>
          <w:tab w:val="left" w:pos="540"/>
          <w:tab w:val="left" w:pos="720"/>
        </w:tabs>
        <w:spacing w:line="360" w:lineRule="auto"/>
        <w:ind w:left="0" w:firstLine="360"/>
        <w:rPr>
          <w:rFonts w:hint="eastAsia" w:ascii="宋体" w:hAnsi="宋体"/>
          <w:szCs w:val="21"/>
        </w:rPr>
      </w:pPr>
      <w:r>
        <w:rPr>
          <w:rFonts w:hint="eastAsia" w:ascii="宋体" w:hAnsi="宋体"/>
          <w:szCs w:val="21"/>
        </w:rPr>
        <w:t>交货时间：</w:t>
      </w:r>
      <w:r>
        <w:rPr>
          <w:rFonts w:hint="eastAsia" w:ascii="宋体" w:hAnsi="宋体"/>
          <w:szCs w:val="21"/>
          <w:lang w:eastAsia="zh-CN"/>
        </w:rPr>
        <w:t>水</w:t>
      </w:r>
      <w:r>
        <w:rPr>
          <w:rFonts w:hint="eastAsia" w:ascii="宋体" w:hAnsi="宋体"/>
          <w:szCs w:val="21"/>
        </w:rPr>
        <w:t>泵于</w:t>
      </w:r>
      <w:r>
        <w:rPr>
          <w:rFonts w:hint="eastAsia" w:ascii="宋体" w:hAnsi="宋体"/>
          <w:szCs w:val="21"/>
          <w:lang w:val="en-US" w:eastAsia="zh-CN"/>
        </w:rPr>
        <w:t>2026</w:t>
      </w:r>
      <w:r>
        <w:rPr>
          <w:rFonts w:hint="eastAsia" w:ascii="宋体" w:hAnsi="宋体"/>
          <w:szCs w:val="21"/>
        </w:rPr>
        <w:t>年</w:t>
      </w:r>
      <w:r>
        <w:rPr>
          <w:rFonts w:hint="eastAsia" w:ascii="宋体" w:hAnsi="宋体"/>
          <w:szCs w:val="21"/>
          <w:lang w:val="en-US" w:eastAsia="zh-CN"/>
        </w:rPr>
        <w:t>6</w:t>
      </w:r>
      <w:r>
        <w:rPr>
          <w:rFonts w:hint="eastAsia" w:ascii="宋体" w:hAnsi="宋体"/>
          <w:szCs w:val="21"/>
        </w:rPr>
        <w:t>月</w:t>
      </w:r>
      <w:r>
        <w:rPr>
          <w:rFonts w:hint="eastAsia" w:ascii="宋体" w:hAnsi="宋体"/>
          <w:szCs w:val="21"/>
          <w:lang w:val="en-US" w:eastAsia="zh-CN"/>
        </w:rPr>
        <w:t>15</w:t>
      </w:r>
      <w:r>
        <w:rPr>
          <w:rFonts w:hint="eastAsia" w:ascii="宋体" w:hAnsi="宋体"/>
          <w:szCs w:val="21"/>
        </w:rPr>
        <w:t>日前交货。</w:t>
      </w:r>
    </w:p>
    <w:p w14:paraId="33FDD8C5">
      <w:pPr>
        <w:widowControl/>
        <w:numPr>
          <w:ilvl w:val="2"/>
          <w:numId w:val="3"/>
        </w:numPr>
        <w:tabs>
          <w:tab w:val="left" w:pos="-180"/>
          <w:tab w:val="left" w:pos="-120"/>
          <w:tab w:val="left" w:pos="720"/>
        </w:tabs>
        <w:spacing w:line="360" w:lineRule="auto"/>
        <w:ind w:left="0" w:firstLine="360"/>
        <w:jc w:val="left"/>
        <w:rPr>
          <w:rFonts w:hint="eastAsia" w:ascii="宋体" w:hAnsi="宋体" w:eastAsia="宋体" w:cs="Times New Roman"/>
          <w:kern w:val="2"/>
          <w:sz w:val="21"/>
          <w:szCs w:val="21"/>
          <w:lang w:val="en-US" w:eastAsia="zh-CN" w:bidi="ar-SA"/>
        </w:rPr>
      </w:pPr>
      <w:r>
        <w:rPr>
          <w:rFonts w:hint="eastAsia" w:ascii="宋体" w:hAnsi="宋体"/>
          <w:szCs w:val="21"/>
        </w:rPr>
        <w:t>交货地点：</w:t>
      </w:r>
      <w:r>
        <w:rPr>
          <w:rFonts w:hint="eastAsia" w:ascii="宋体" w:hAnsi="宋体" w:eastAsia="宋体" w:cs="Times New Roman"/>
          <w:kern w:val="2"/>
          <w:sz w:val="21"/>
          <w:szCs w:val="21"/>
          <w:lang w:val="en-US" w:eastAsia="zh-CN" w:bidi="ar-SA"/>
        </w:rPr>
        <w:t>甘肃省嘉峪关市酒钢储运部备件库</w:t>
      </w:r>
    </w:p>
    <w:p w14:paraId="445924B3">
      <w:pPr>
        <w:tabs>
          <w:tab w:val="left" w:pos="0"/>
          <w:tab w:val="left" w:pos="720"/>
          <w:tab w:val="left" w:pos="900"/>
          <w:tab w:val="left" w:pos="1080"/>
        </w:tabs>
        <w:spacing w:line="360" w:lineRule="auto"/>
        <w:rPr>
          <w:rFonts w:hint="eastAsia" w:ascii="宋体" w:hAnsi="宋体" w:cs="Times New Roman"/>
          <w:b/>
          <w:szCs w:val="21"/>
        </w:rPr>
      </w:pPr>
      <w:r>
        <w:rPr>
          <w:rFonts w:hint="eastAsia" w:ascii="宋体" w:hAnsi="宋体" w:cs="Times New Roman"/>
          <w:b/>
          <w:szCs w:val="21"/>
        </w:rPr>
        <w:t>附件七   其它</w:t>
      </w:r>
    </w:p>
    <w:p w14:paraId="2ECEFA86">
      <w:pPr>
        <w:widowControl/>
        <w:numPr>
          <w:ilvl w:val="0"/>
          <w:numId w:val="0"/>
        </w:numPr>
        <w:tabs>
          <w:tab w:val="left" w:pos="-180"/>
          <w:tab w:val="left" w:pos="-120"/>
          <w:tab w:val="left" w:pos="720"/>
        </w:tabs>
        <w:spacing w:line="360" w:lineRule="auto"/>
        <w:ind w:left="360" w:leftChars="0"/>
        <w:jc w:val="left"/>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7.1本协议内容经由甲乙双方于</w:t>
      </w:r>
      <w:r>
        <w:rPr>
          <w:rFonts w:hint="eastAsia" w:ascii="宋体" w:hAnsi="宋体" w:cs="Times New Roman"/>
          <w:kern w:val="2"/>
          <w:sz w:val="21"/>
          <w:szCs w:val="21"/>
          <w:lang w:val="en-US" w:eastAsia="zh-CN" w:bidi="ar-SA"/>
        </w:rPr>
        <w:t xml:space="preserve">  </w:t>
      </w:r>
      <w:r>
        <w:rPr>
          <w:rFonts w:hint="eastAsia" w:ascii="宋体" w:hAnsi="宋体" w:eastAsia="宋体" w:cs="Times New Roman"/>
          <w:kern w:val="2"/>
          <w:sz w:val="21"/>
          <w:szCs w:val="21"/>
          <w:lang w:val="en-US" w:eastAsia="zh-CN" w:bidi="ar-SA"/>
        </w:rPr>
        <w:t xml:space="preserve"> 年</w:t>
      </w:r>
      <w:r>
        <w:rPr>
          <w:rFonts w:hint="eastAsia" w:ascii="宋体" w:hAnsi="宋体" w:cs="Times New Roman"/>
          <w:kern w:val="2"/>
          <w:sz w:val="21"/>
          <w:szCs w:val="21"/>
          <w:lang w:val="en-US" w:eastAsia="zh-CN" w:bidi="ar-SA"/>
        </w:rPr>
        <w:t xml:space="preserve">   </w:t>
      </w:r>
      <w:r>
        <w:rPr>
          <w:rFonts w:hint="eastAsia" w:ascii="宋体" w:hAnsi="宋体" w:eastAsia="宋体" w:cs="Times New Roman"/>
          <w:kern w:val="2"/>
          <w:sz w:val="21"/>
          <w:szCs w:val="21"/>
          <w:lang w:val="en-US" w:eastAsia="zh-CN" w:bidi="ar-SA"/>
        </w:rPr>
        <w:t>月</w:t>
      </w:r>
      <w:r>
        <w:rPr>
          <w:rFonts w:hint="eastAsia" w:ascii="宋体" w:hAnsi="宋体" w:cs="Times New Roman"/>
          <w:kern w:val="2"/>
          <w:sz w:val="21"/>
          <w:szCs w:val="21"/>
          <w:lang w:val="en-US" w:eastAsia="zh-CN" w:bidi="ar-SA"/>
        </w:rPr>
        <w:t xml:space="preserve">   </w:t>
      </w:r>
      <w:r>
        <w:rPr>
          <w:rFonts w:hint="eastAsia" w:ascii="宋体" w:hAnsi="宋体" w:eastAsia="宋体" w:cs="Times New Roman"/>
          <w:kern w:val="2"/>
          <w:sz w:val="21"/>
          <w:szCs w:val="21"/>
          <w:lang w:val="en-US" w:eastAsia="zh-CN" w:bidi="ar-SA"/>
        </w:rPr>
        <w:t>日</w:t>
      </w:r>
      <w:r>
        <w:rPr>
          <w:rFonts w:hint="eastAsia" w:ascii="宋体" w:hAnsi="宋体" w:cs="Times New Roman"/>
          <w:kern w:val="2"/>
          <w:sz w:val="21"/>
          <w:szCs w:val="21"/>
          <w:lang w:val="en-US" w:eastAsia="zh-CN" w:bidi="ar-SA"/>
        </w:rPr>
        <w:t xml:space="preserve">   </w:t>
      </w:r>
      <w:r>
        <w:rPr>
          <w:rFonts w:hint="eastAsia" w:ascii="宋体" w:hAnsi="宋体" w:eastAsia="宋体" w:cs="Times New Roman"/>
          <w:kern w:val="2"/>
          <w:sz w:val="21"/>
          <w:szCs w:val="21"/>
          <w:lang w:val="en-US" w:eastAsia="zh-CN" w:bidi="ar-SA"/>
        </w:rPr>
        <w:t>时-</w:t>
      </w:r>
      <w:r>
        <w:rPr>
          <w:rFonts w:hint="eastAsia" w:ascii="宋体" w:hAnsi="宋体" w:cs="Times New Roman"/>
          <w:kern w:val="2"/>
          <w:sz w:val="21"/>
          <w:szCs w:val="21"/>
          <w:lang w:val="en-US" w:eastAsia="zh-CN" w:bidi="ar-SA"/>
        </w:rPr>
        <w:t xml:space="preserve">   </w:t>
      </w:r>
      <w:r>
        <w:rPr>
          <w:rFonts w:hint="eastAsia" w:ascii="宋体" w:hAnsi="宋体" w:eastAsia="宋体" w:cs="Times New Roman"/>
          <w:kern w:val="2"/>
          <w:sz w:val="21"/>
          <w:szCs w:val="21"/>
          <w:lang w:val="en-US" w:eastAsia="zh-CN" w:bidi="ar-SA"/>
        </w:rPr>
        <w:t>时通过</w:t>
      </w:r>
      <w:r>
        <w:rPr>
          <w:rFonts w:hint="eastAsia" w:ascii="宋体" w:hAnsi="宋体" w:cs="Times New Roman"/>
          <w:kern w:val="2"/>
          <w:sz w:val="21"/>
          <w:szCs w:val="21"/>
          <w:lang w:val="en-US" w:eastAsia="zh-CN" w:bidi="ar-SA"/>
        </w:rPr>
        <w:t xml:space="preserve">    </w:t>
      </w:r>
      <w:r>
        <w:rPr>
          <w:rFonts w:hint="eastAsia" w:ascii="宋体" w:hAnsi="宋体" w:eastAsia="宋体" w:cs="Times New Roman"/>
          <w:kern w:val="2"/>
          <w:sz w:val="21"/>
          <w:szCs w:val="21"/>
          <w:lang w:val="en-US" w:eastAsia="zh-CN" w:bidi="ar-SA"/>
        </w:rPr>
        <w:t xml:space="preserve">方式商定。 </w:t>
      </w:r>
    </w:p>
    <w:p w14:paraId="453652BC">
      <w:pPr>
        <w:widowControl/>
        <w:numPr>
          <w:ilvl w:val="0"/>
          <w:numId w:val="0"/>
        </w:numPr>
        <w:tabs>
          <w:tab w:val="left" w:pos="-180"/>
          <w:tab w:val="left" w:pos="-120"/>
          <w:tab w:val="left" w:pos="720"/>
        </w:tabs>
        <w:spacing w:line="360" w:lineRule="auto"/>
        <w:ind w:left="360" w:leftChars="0"/>
        <w:jc w:val="left"/>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7.2甲乙双方应当就签订本协议的相关事宜保密，不得将签订主体、时间、内容等信息透露给其他第三人。</w:t>
      </w:r>
    </w:p>
    <w:p w14:paraId="38F90AE5">
      <w:pPr>
        <w:widowControl/>
        <w:numPr>
          <w:ilvl w:val="0"/>
          <w:numId w:val="0"/>
        </w:numPr>
        <w:tabs>
          <w:tab w:val="left" w:pos="-180"/>
          <w:tab w:val="left" w:pos="-120"/>
          <w:tab w:val="left" w:pos="720"/>
        </w:tabs>
        <w:spacing w:line="360" w:lineRule="auto"/>
        <w:ind w:left="360" w:leftChars="0"/>
        <w:jc w:val="left"/>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7.3若乙方公司不能中标，则本技术协议自动失效，双方不承担任何责任。</w:t>
      </w:r>
    </w:p>
    <w:p w14:paraId="1394C475">
      <w:pPr>
        <w:widowControl/>
        <w:numPr>
          <w:ilvl w:val="0"/>
          <w:numId w:val="0"/>
        </w:numPr>
        <w:tabs>
          <w:tab w:val="left" w:pos="-180"/>
          <w:tab w:val="left" w:pos="-120"/>
          <w:tab w:val="left" w:pos="720"/>
        </w:tabs>
        <w:spacing w:line="360" w:lineRule="auto"/>
        <w:ind w:left="360" w:leftChars="0"/>
        <w:jc w:val="left"/>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7.4本协议一式四份，甲方三份，乙方一份。</w:t>
      </w:r>
    </w:p>
    <w:p w14:paraId="5AD69F40">
      <w:pPr>
        <w:tabs>
          <w:tab w:val="left" w:pos="540"/>
          <w:tab w:val="left" w:pos="840"/>
          <w:tab w:val="left" w:pos="1080"/>
        </w:tabs>
        <w:spacing w:line="360" w:lineRule="auto"/>
        <w:rPr>
          <w:rFonts w:ascii="宋体" w:hAnsi="宋体"/>
          <w:szCs w:val="21"/>
        </w:rPr>
      </w:pPr>
    </w:p>
    <w:p w14:paraId="293E4F28">
      <w:pPr>
        <w:tabs>
          <w:tab w:val="left" w:pos="1943"/>
        </w:tabs>
        <w:rPr>
          <w:rFonts w:hint="eastAsia" w:ascii="宋体" w:hAnsi="宋体"/>
          <w:b/>
          <w:sz w:val="28"/>
          <w:szCs w:val="28"/>
        </w:rPr>
      </w:pPr>
      <w:r>
        <w:rPr>
          <w:rFonts w:hint="eastAsia" w:ascii="宋体" w:hAnsi="宋体"/>
          <w:b/>
          <w:sz w:val="28"/>
          <w:szCs w:val="28"/>
        </w:rPr>
        <w:t>甲方：（行政公章）</w:t>
      </w:r>
      <w:r>
        <w:rPr>
          <w:rFonts w:ascii="宋体" w:hAnsi="宋体"/>
          <w:b/>
          <w:sz w:val="28"/>
          <w:szCs w:val="28"/>
        </w:rPr>
        <w:tab/>
      </w:r>
      <w:r>
        <w:rPr>
          <w:rFonts w:hint="eastAsia" w:ascii="宋体" w:hAnsi="宋体"/>
          <w:b/>
          <w:sz w:val="28"/>
          <w:szCs w:val="28"/>
        </w:rPr>
        <w:t xml:space="preserve">                      乙方：（合同专用章）</w:t>
      </w:r>
    </w:p>
    <w:p w14:paraId="5A2D7410">
      <w:pPr>
        <w:tabs>
          <w:tab w:val="left" w:pos="1943"/>
        </w:tabs>
        <w:rPr>
          <w:rFonts w:hint="eastAsia" w:ascii="宋体" w:hAnsi="宋体"/>
          <w:b/>
          <w:sz w:val="28"/>
          <w:szCs w:val="28"/>
        </w:rPr>
      </w:pPr>
      <w:r>
        <w:rPr>
          <w:rFonts w:ascii="宋体" w:hAnsi="宋体"/>
          <w:b/>
          <w:sz w:val="28"/>
          <w:szCs w:val="28"/>
        </w:rPr>
        <w:tab/>
      </w:r>
      <w:r>
        <w:rPr>
          <w:rFonts w:hint="eastAsia" w:ascii="宋体" w:hAnsi="宋体"/>
          <w:b/>
          <w:sz w:val="28"/>
          <w:szCs w:val="28"/>
        </w:rPr>
        <w:t xml:space="preserve">               </w:t>
      </w:r>
    </w:p>
    <w:p w14:paraId="02D06F33">
      <w:pPr>
        <w:rPr>
          <w:rFonts w:hint="eastAsia" w:ascii="宋体" w:hAnsi="宋体"/>
          <w:b/>
          <w:sz w:val="28"/>
          <w:szCs w:val="28"/>
        </w:rPr>
      </w:pPr>
      <w:r>
        <w:rPr>
          <w:rFonts w:hint="eastAsia" w:ascii="宋体" w:hAnsi="宋体"/>
          <w:b/>
          <w:sz w:val="28"/>
          <w:szCs w:val="28"/>
        </w:rPr>
        <w:t>甲方代表：</w:t>
      </w:r>
      <w:r>
        <w:rPr>
          <w:rFonts w:ascii="宋体" w:hAnsi="宋体"/>
          <w:b/>
          <w:sz w:val="28"/>
          <w:szCs w:val="28"/>
        </w:rPr>
        <w:tab/>
      </w:r>
      <w:r>
        <w:rPr>
          <w:rFonts w:hint="eastAsia" w:ascii="宋体" w:hAnsi="宋体"/>
          <w:b/>
          <w:sz w:val="28"/>
          <w:szCs w:val="28"/>
        </w:rPr>
        <w:t xml:space="preserve">                             乙方代表：</w:t>
      </w:r>
    </w:p>
    <w:p w14:paraId="08D835E6">
      <w:pPr>
        <w:rPr>
          <w:rFonts w:hint="eastAsia" w:ascii="宋体" w:hAnsi="宋体"/>
          <w:b/>
          <w:sz w:val="28"/>
          <w:szCs w:val="28"/>
        </w:rPr>
      </w:pPr>
    </w:p>
    <w:p w14:paraId="226182B1">
      <w:r>
        <w:rPr>
          <w:rFonts w:hint="eastAsia" w:ascii="宋体" w:hAnsi="宋体"/>
          <w:b/>
          <w:sz w:val="28"/>
          <w:szCs w:val="28"/>
        </w:rPr>
        <w:t xml:space="preserve">   年   月   日</w:t>
      </w:r>
      <w:r>
        <w:rPr>
          <w:rFonts w:ascii="宋体" w:hAnsi="宋体"/>
          <w:b/>
          <w:sz w:val="28"/>
          <w:szCs w:val="28"/>
        </w:rPr>
        <w:tab/>
      </w:r>
      <w:r>
        <w:rPr>
          <w:rFonts w:hint="eastAsia" w:ascii="宋体" w:hAnsi="宋体"/>
          <w:b/>
          <w:sz w:val="28"/>
          <w:szCs w:val="28"/>
        </w:rPr>
        <w:t xml:space="preserve">                             年   月   日</w:t>
      </w:r>
    </w:p>
    <w:sectPr>
      <w:headerReference r:id="rId3" w:type="default"/>
      <w:footerReference r:id="rId4" w:type="default"/>
      <w:pgSz w:w="11906" w:h="16838"/>
      <w:pgMar w:top="1134" w:right="1134" w:bottom="1134"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新魏">
    <w:altName w:val="宋体"/>
    <w:panose1 w:val="02010800040101010101"/>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Narrow">
    <w:altName w:val="Arial"/>
    <w:panose1 w:val="020B0606020202030204"/>
    <w:charset w:val="00"/>
    <w:family w:val="swiss"/>
    <w:pitch w:val="default"/>
    <w:sig w:usb0="00000000"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309FFA">
    <w:pPr>
      <w:pStyle w:val="9"/>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4</w:t>
    </w:r>
    <w:r>
      <w:rPr>
        <w:kern w:val="0"/>
        <w:szCs w:val="21"/>
      </w:rPr>
      <w:fldChar w:fldCharType="end"/>
    </w:r>
    <w:r>
      <w:rPr>
        <w:rFonts w:hint="eastAsia"/>
        <w:kern w:val="0"/>
        <w:szCs w:val="21"/>
      </w:rPr>
      <w:t xml:space="preserve"> 页 共5页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88171">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B"/>
    <w:multiLevelType w:val="multilevel"/>
    <w:tmpl w:val="0000000B"/>
    <w:lvl w:ilvl="0" w:tentative="0">
      <w:start w:val="1"/>
      <w:numFmt w:val="decimal"/>
      <w:lvlText w:val="1.%1"/>
      <w:lvlJc w:val="left"/>
      <w:pPr>
        <w:tabs>
          <w:tab w:val="left" w:pos="0"/>
        </w:tabs>
        <w:ind w:left="0" w:firstLine="0"/>
      </w:pPr>
      <w:rPr>
        <w:rFonts w:hint="default"/>
      </w:rPr>
    </w:lvl>
    <w:lvl w:ilvl="1" w:tentative="0">
      <w:start w:val="1"/>
      <w:numFmt w:val="decimal"/>
      <w:lvlText w:val="%2、"/>
      <w:lvlJc w:val="left"/>
      <w:pPr>
        <w:tabs>
          <w:tab w:val="left" w:pos="1260"/>
        </w:tabs>
        <w:ind w:left="126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000000E"/>
    <w:multiLevelType w:val="multilevel"/>
    <w:tmpl w:val="0000000E"/>
    <w:lvl w:ilvl="0" w:tentative="0">
      <w:start w:val="1"/>
      <w:numFmt w:val="decimal"/>
      <w:lvlText w:val="4.3.%1"/>
      <w:lvlJc w:val="left"/>
      <w:pPr>
        <w:tabs>
          <w:tab w:val="left" w:pos="840"/>
        </w:tabs>
        <w:ind w:left="840" w:hanging="420"/>
      </w:pPr>
      <w:rPr>
        <w:rFonts w:hint="eastAsia"/>
        <w:b w:val="0"/>
      </w:rPr>
    </w:lvl>
    <w:lvl w:ilvl="1" w:tentative="0">
      <w:start w:val="1"/>
      <w:numFmt w:val="decimal"/>
      <w:lvlText w:val="5.%2"/>
      <w:lvlJc w:val="left"/>
      <w:pPr>
        <w:tabs>
          <w:tab w:val="left" w:pos="840"/>
        </w:tabs>
        <w:ind w:left="397" w:firstLine="23"/>
      </w:pPr>
      <w:rPr>
        <w:rFonts w:hint="eastAsia" w:ascii="宋体" w:eastAsia="宋体"/>
        <w:b w:val="0"/>
        <w:i w:val="0"/>
        <w:sz w:val="21"/>
      </w:rPr>
    </w:lvl>
    <w:lvl w:ilvl="2" w:tentative="0">
      <w:start w:val="1"/>
      <w:numFmt w:val="decimal"/>
      <w:lvlText w:val="6.%3"/>
      <w:lvlJc w:val="left"/>
      <w:pPr>
        <w:tabs>
          <w:tab w:val="left" w:pos="1260"/>
        </w:tabs>
        <w:ind w:left="817" w:firstLine="23"/>
      </w:pPr>
      <w:rPr>
        <w:rFonts w:hint="eastAsia" w:ascii="宋体" w:eastAsia="宋体"/>
        <w:b w:val="0"/>
        <w:i w:val="0"/>
        <w:sz w:val="21"/>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F"/>
    <w:multiLevelType w:val="multilevel"/>
    <w:tmpl w:val="0000000F"/>
    <w:lvl w:ilvl="0" w:tentative="0">
      <w:start w:val="1"/>
      <w:numFmt w:val="decimal"/>
      <w:lvlText w:val="%1"/>
      <w:lvlJc w:val="left"/>
      <w:pPr>
        <w:ind w:left="360" w:hanging="360"/>
      </w:pPr>
      <w:rPr>
        <w:rFonts w:hint="default"/>
      </w:rPr>
    </w:lvl>
    <w:lvl w:ilvl="1" w:tentative="0">
      <w:start w:val="6"/>
      <w:numFmt w:val="decimal"/>
      <w:lvlText w:val="%1.%2"/>
      <w:lvlJc w:val="left"/>
      <w:pPr>
        <w:ind w:left="885" w:hanging="360"/>
      </w:pPr>
      <w:rPr>
        <w:rFonts w:hint="default"/>
      </w:rPr>
    </w:lvl>
    <w:lvl w:ilvl="2" w:tentative="0">
      <w:start w:val="1"/>
      <w:numFmt w:val="decimal"/>
      <w:lvlText w:val="%1.%2.%3"/>
      <w:lvlJc w:val="left"/>
      <w:pPr>
        <w:ind w:left="1770" w:hanging="720"/>
      </w:pPr>
      <w:rPr>
        <w:rFonts w:hint="default"/>
      </w:rPr>
    </w:lvl>
    <w:lvl w:ilvl="3" w:tentative="0">
      <w:start w:val="1"/>
      <w:numFmt w:val="decimal"/>
      <w:lvlText w:val="%1.%2.%3.%4"/>
      <w:lvlJc w:val="left"/>
      <w:pPr>
        <w:ind w:left="2655" w:hanging="1080"/>
      </w:pPr>
      <w:rPr>
        <w:rFonts w:hint="default"/>
      </w:rPr>
    </w:lvl>
    <w:lvl w:ilvl="4" w:tentative="0">
      <w:start w:val="1"/>
      <w:numFmt w:val="decimal"/>
      <w:lvlText w:val="%1.%2.%3.%4.%5"/>
      <w:lvlJc w:val="left"/>
      <w:pPr>
        <w:ind w:left="3180" w:hanging="1080"/>
      </w:pPr>
      <w:rPr>
        <w:rFonts w:hint="default"/>
      </w:rPr>
    </w:lvl>
    <w:lvl w:ilvl="5" w:tentative="0">
      <w:start w:val="1"/>
      <w:numFmt w:val="decimal"/>
      <w:lvlText w:val="%1.%2.%3.%4.%5.%6"/>
      <w:lvlJc w:val="left"/>
      <w:pPr>
        <w:ind w:left="4065" w:hanging="1440"/>
      </w:pPr>
      <w:rPr>
        <w:rFonts w:hint="default"/>
      </w:rPr>
    </w:lvl>
    <w:lvl w:ilvl="6" w:tentative="0">
      <w:start w:val="1"/>
      <w:numFmt w:val="decimal"/>
      <w:lvlText w:val="%1.%2.%3.%4.%5.%6.%7"/>
      <w:lvlJc w:val="left"/>
      <w:pPr>
        <w:ind w:left="4590" w:hanging="1440"/>
      </w:pPr>
      <w:rPr>
        <w:rFonts w:hint="default"/>
      </w:rPr>
    </w:lvl>
    <w:lvl w:ilvl="7" w:tentative="0">
      <w:start w:val="1"/>
      <w:numFmt w:val="decimal"/>
      <w:lvlText w:val="%1.%2.%3.%4.%5.%6.%7.%8"/>
      <w:lvlJc w:val="left"/>
      <w:pPr>
        <w:ind w:left="5475" w:hanging="1800"/>
      </w:pPr>
      <w:rPr>
        <w:rFonts w:hint="default"/>
      </w:rPr>
    </w:lvl>
    <w:lvl w:ilvl="8" w:tentative="0">
      <w:start w:val="1"/>
      <w:numFmt w:val="decimal"/>
      <w:lvlText w:val="%1.%2.%3.%4.%5.%6.%7.%8.%9"/>
      <w:lvlJc w:val="left"/>
      <w:pPr>
        <w:ind w:left="6000" w:hanging="18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4MTdiNzFlMjk5NTkzNjY0MDI1YjBmZGM1NWVlZjQifQ=="/>
  </w:docVars>
  <w:rsids>
    <w:rsidRoot w:val="00172A27"/>
    <w:rsid w:val="00002530"/>
    <w:rsid w:val="000109F7"/>
    <w:rsid w:val="00017069"/>
    <w:rsid w:val="00023B5F"/>
    <w:rsid w:val="000324F6"/>
    <w:rsid w:val="00032DE4"/>
    <w:rsid w:val="000730DE"/>
    <w:rsid w:val="0007511A"/>
    <w:rsid w:val="000A0AE1"/>
    <w:rsid w:val="000E1F8D"/>
    <w:rsid w:val="001B720A"/>
    <w:rsid w:val="001E6BA9"/>
    <w:rsid w:val="002016ED"/>
    <w:rsid w:val="002019A2"/>
    <w:rsid w:val="00235604"/>
    <w:rsid w:val="00247E0D"/>
    <w:rsid w:val="00265101"/>
    <w:rsid w:val="002A3898"/>
    <w:rsid w:val="002C720F"/>
    <w:rsid w:val="00304C2D"/>
    <w:rsid w:val="00345CE6"/>
    <w:rsid w:val="003464E4"/>
    <w:rsid w:val="003F143A"/>
    <w:rsid w:val="00445A92"/>
    <w:rsid w:val="004C6CBD"/>
    <w:rsid w:val="00544117"/>
    <w:rsid w:val="005C0AF8"/>
    <w:rsid w:val="005D4495"/>
    <w:rsid w:val="006057C4"/>
    <w:rsid w:val="006076CD"/>
    <w:rsid w:val="00694AC7"/>
    <w:rsid w:val="006A27E4"/>
    <w:rsid w:val="006D32FA"/>
    <w:rsid w:val="0075668E"/>
    <w:rsid w:val="0076742F"/>
    <w:rsid w:val="007A068B"/>
    <w:rsid w:val="007B4AC2"/>
    <w:rsid w:val="008376BA"/>
    <w:rsid w:val="008A63C5"/>
    <w:rsid w:val="008F774A"/>
    <w:rsid w:val="0094734D"/>
    <w:rsid w:val="00960F76"/>
    <w:rsid w:val="0096312F"/>
    <w:rsid w:val="00985030"/>
    <w:rsid w:val="009E4461"/>
    <w:rsid w:val="00A004A4"/>
    <w:rsid w:val="00A316A5"/>
    <w:rsid w:val="00A43D28"/>
    <w:rsid w:val="00AA34C6"/>
    <w:rsid w:val="00B001E2"/>
    <w:rsid w:val="00B802A1"/>
    <w:rsid w:val="00B91414"/>
    <w:rsid w:val="00B91DA0"/>
    <w:rsid w:val="00BC48BC"/>
    <w:rsid w:val="00BD1937"/>
    <w:rsid w:val="00C10C26"/>
    <w:rsid w:val="00C50C06"/>
    <w:rsid w:val="00C75859"/>
    <w:rsid w:val="00C957E8"/>
    <w:rsid w:val="00D3789C"/>
    <w:rsid w:val="00D67667"/>
    <w:rsid w:val="00DC478E"/>
    <w:rsid w:val="00DE4E3F"/>
    <w:rsid w:val="00DF1906"/>
    <w:rsid w:val="00E15BA6"/>
    <w:rsid w:val="00E60686"/>
    <w:rsid w:val="00E91CDA"/>
    <w:rsid w:val="00E95EA7"/>
    <w:rsid w:val="07CA2ED7"/>
    <w:rsid w:val="08F16572"/>
    <w:rsid w:val="095B4567"/>
    <w:rsid w:val="0B00275A"/>
    <w:rsid w:val="0EB36461"/>
    <w:rsid w:val="0FC264EA"/>
    <w:rsid w:val="104A0EB5"/>
    <w:rsid w:val="10863CAA"/>
    <w:rsid w:val="128F7902"/>
    <w:rsid w:val="15F42192"/>
    <w:rsid w:val="19856C4C"/>
    <w:rsid w:val="1A2608F3"/>
    <w:rsid w:val="1A58506D"/>
    <w:rsid w:val="1C854F5A"/>
    <w:rsid w:val="1DE42E7F"/>
    <w:rsid w:val="20C652F6"/>
    <w:rsid w:val="233B229A"/>
    <w:rsid w:val="2432352D"/>
    <w:rsid w:val="249F6523"/>
    <w:rsid w:val="256D27FD"/>
    <w:rsid w:val="2604539D"/>
    <w:rsid w:val="279F3713"/>
    <w:rsid w:val="2D452F54"/>
    <w:rsid w:val="2E090714"/>
    <w:rsid w:val="2F6E12E0"/>
    <w:rsid w:val="35FA5E74"/>
    <w:rsid w:val="3AB860FC"/>
    <w:rsid w:val="3C73403C"/>
    <w:rsid w:val="3DE70F85"/>
    <w:rsid w:val="3F4940F4"/>
    <w:rsid w:val="42402E61"/>
    <w:rsid w:val="451A7B10"/>
    <w:rsid w:val="459146AE"/>
    <w:rsid w:val="46A96CC4"/>
    <w:rsid w:val="47012B0C"/>
    <w:rsid w:val="4AC779BE"/>
    <w:rsid w:val="4B8B517E"/>
    <w:rsid w:val="501E3056"/>
    <w:rsid w:val="512F2A1E"/>
    <w:rsid w:val="53013A3B"/>
    <w:rsid w:val="530B1DCC"/>
    <w:rsid w:val="53D1600F"/>
    <w:rsid w:val="53D3552F"/>
    <w:rsid w:val="54CC7B84"/>
    <w:rsid w:val="57BB6730"/>
    <w:rsid w:val="5CA100F9"/>
    <w:rsid w:val="5D775E79"/>
    <w:rsid w:val="5E2B5309"/>
    <w:rsid w:val="5E56308A"/>
    <w:rsid w:val="60CC6C83"/>
    <w:rsid w:val="62DD7B71"/>
    <w:rsid w:val="64DB4F3F"/>
    <w:rsid w:val="67A05FCC"/>
    <w:rsid w:val="688B1D37"/>
    <w:rsid w:val="6EF23592"/>
    <w:rsid w:val="6EFC51A7"/>
    <w:rsid w:val="70ED448B"/>
    <w:rsid w:val="72F23B8A"/>
    <w:rsid w:val="74AB0875"/>
    <w:rsid w:val="74E10FB6"/>
    <w:rsid w:val="75D00657"/>
    <w:rsid w:val="7DFA3E28"/>
    <w:rsid w:val="7F0204F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4"/>
    <w:basedOn w:val="4"/>
    <w:next w:val="1"/>
    <w:autoRedefine/>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qFormat/>
    <w:uiPriority w:val="0"/>
  </w:style>
  <w:style w:type="table" w:default="1" w:styleId="13">
    <w:name w:val="Normal Table"/>
    <w:autoRedefine/>
    <w:unhideWhenUsed/>
    <w:qFormat/>
    <w:uiPriority w:val="99"/>
    <w:tblPr>
      <w:tblCellMar>
        <w:top w:w="0" w:type="dxa"/>
        <w:left w:w="108" w:type="dxa"/>
        <w:bottom w:w="0" w:type="dxa"/>
        <w:right w:w="108" w:type="dxa"/>
      </w:tblCellMar>
    </w:tblPr>
  </w:style>
  <w:style w:type="paragraph" w:customStyle="1" w:styleId="2">
    <w:name w:val="BodyText"/>
    <w:basedOn w:val="1"/>
    <w:autoRedefine/>
    <w:qFormat/>
    <w:uiPriority w:val="0"/>
    <w:pPr>
      <w:spacing w:after="120" w:line="240" w:lineRule="auto"/>
    </w:pPr>
    <w:rPr>
      <w:rFonts w:ascii="Calibri" w:hAnsi="Calibri" w:eastAsia="宋体"/>
      <w:color w:val="auto"/>
      <w:kern w:val="2"/>
      <w:sz w:val="21"/>
      <w:szCs w:val="24"/>
      <w:lang w:val="en-US" w:eastAsia="zh-CN" w:bidi="ar-SA"/>
    </w:rPr>
  </w:style>
  <w:style w:type="paragraph" w:customStyle="1" w:styleId="4">
    <w:name w:val="00 正文"/>
    <w:basedOn w:val="1"/>
    <w:autoRedefine/>
    <w:qFormat/>
    <w:uiPriority w:val="0"/>
    <w:pPr>
      <w:adjustRightInd w:val="0"/>
      <w:textAlignment w:val="baseline"/>
    </w:pPr>
    <w:rPr>
      <w:rFonts w:hAnsi="宋体"/>
      <w:bCs/>
      <w:kern w:val="2"/>
      <w:sz w:val="24"/>
    </w:rPr>
  </w:style>
  <w:style w:type="paragraph" w:styleId="5">
    <w:name w:val="Body Text Indent"/>
    <w:basedOn w:val="1"/>
    <w:autoRedefine/>
    <w:qFormat/>
    <w:uiPriority w:val="0"/>
    <w:pPr>
      <w:spacing w:after="120" w:afterLines="0"/>
      <w:ind w:left="420" w:leftChars="200"/>
    </w:pPr>
  </w:style>
  <w:style w:type="paragraph" w:styleId="6">
    <w:name w:val="Plain Text"/>
    <w:basedOn w:val="1"/>
    <w:link w:val="15"/>
    <w:autoRedefine/>
    <w:qFormat/>
    <w:uiPriority w:val="0"/>
    <w:rPr>
      <w:rFonts w:ascii="宋体" w:hAnsi="Courier New"/>
      <w:szCs w:val="20"/>
    </w:rPr>
  </w:style>
  <w:style w:type="paragraph" w:styleId="7">
    <w:name w:val="Date"/>
    <w:basedOn w:val="1"/>
    <w:next w:val="1"/>
    <w:autoRedefine/>
    <w:qFormat/>
    <w:uiPriority w:val="0"/>
    <w:pPr>
      <w:ind w:left="100" w:leftChars="2500"/>
    </w:pPr>
  </w:style>
  <w:style w:type="paragraph" w:styleId="8">
    <w:name w:val="Balloon Text"/>
    <w:basedOn w:val="1"/>
    <w:autoRedefine/>
    <w:qFormat/>
    <w:uiPriority w:val="0"/>
    <w:rPr>
      <w:sz w:val="18"/>
      <w:szCs w:val="18"/>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Indent 3"/>
    <w:basedOn w:val="1"/>
    <w:link w:val="16"/>
    <w:autoRedefine/>
    <w:qFormat/>
    <w:uiPriority w:val="0"/>
    <w:pPr>
      <w:spacing w:after="120" w:afterLines="0"/>
      <w:ind w:left="420" w:leftChars="200"/>
    </w:pPr>
    <w:rPr>
      <w:sz w:val="16"/>
      <w:szCs w:val="16"/>
    </w:rPr>
  </w:style>
  <w:style w:type="paragraph" w:styleId="12">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15">
    <w:name w:val=" Char Char1"/>
    <w:link w:val="6"/>
    <w:autoRedefine/>
    <w:qFormat/>
    <w:uiPriority w:val="0"/>
    <w:rPr>
      <w:rFonts w:ascii="宋体" w:hAnsi="Courier New"/>
      <w:kern w:val="2"/>
      <w:sz w:val="21"/>
    </w:rPr>
  </w:style>
  <w:style w:type="character" w:customStyle="1" w:styleId="16">
    <w:name w:val=" Char Char"/>
    <w:link w:val="11"/>
    <w:autoRedefine/>
    <w:qFormat/>
    <w:uiPriority w:val="0"/>
    <w:rPr>
      <w:kern w:val="2"/>
      <w:sz w:val="16"/>
      <w:szCs w:val="16"/>
    </w:rPr>
  </w:style>
  <w:style w:type="paragraph" w:customStyle="1" w:styleId="17">
    <w:name w:val="列出段落"/>
    <w:basedOn w:val="1"/>
    <w:autoRedefine/>
    <w:qFormat/>
    <w:uiPriority w:val="0"/>
    <w:pPr>
      <w:ind w:firstLine="420" w:firstLineChars="200"/>
    </w:pPr>
    <w:rPr>
      <w:rFonts w:ascii="Calibri" w:hAnsi="Calibri"/>
      <w:szCs w:val="22"/>
    </w:rPr>
  </w:style>
  <w:style w:type="paragraph" w:customStyle="1" w:styleId="18">
    <w:name w:val="Char"/>
    <w:basedOn w:val="1"/>
    <w:autoRedefin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Company>www.xunchi.com</Company>
  <Pages>6</Pages>
  <Words>2209</Words>
  <Characters>2488</Characters>
  <Lines>18</Lines>
  <Paragraphs>5</Paragraphs>
  <TotalTime>6</TotalTime>
  <ScaleCrop>false</ScaleCrop>
  <LinksUpToDate>false</LinksUpToDate>
  <CharactersWithSpaces>3100</CharactersWithSpaces>
  <Application>WPS Office_12.1.0.24031_F1E327BC-269C-435d-A152-05C5408002CA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2013-11-22T04:33:00Z</dcterms:created>
  <dc:creator>于书汉</dc:creator>
  <cp:lastModifiedBy>聂魁</cp:lastModifiedBy>
  <cp:lastPrinted>2010-03-05T06:06:00Z</cp:lastPrinted>
  <dcterms:modified xsi:type="dcterms:W3CDTF">2026-02-02T02:27:41Z</dcterms:modified>
  <dc:title>酒泉钢铁集团有限公司</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2052-12.1.0.24031</vt:lpwstr>
  </property>
  <property fmtid="{D5CDD505-2E9C-101B-9397-08002B2CF9AE}" pid="3" name="ICV">
    <vt:lpwstr>7881730A914947479F3CC0DCFF2BD1D7_13</vt:lpwstr>
  </property>
  <property fmtid="{D5CDD505-2E9C-101B-9397-08002B2CF9AE}" pid="4" name="KSOTemplateDocerSaveRecord">
    <vt:lpwstr>eyJoZGlkIjoiMGQ4ODg4OTE5MTcwYmQyY2Y4ZTZhMzQyOTVlODQzYzIiLCJ1c2VySWQiOiIxNDg5OTA1NTI0In0=</vt:lpwstr>
  </property>
</Properties>
</file>