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spacing w:line="241" w:lineRule="auto"/>
        <w:rPr>
          <w:rFonts w:hint="eastAsia" w:ascii="仿宋" w:hAnsi="仿宋" w:eastAsia="仿宋" w:cs="仿宋"/>
        </w:rPr>
      </w:pPr>
    </w:p>
    <w:p>
      <w:pPr>
        <w:spacing w:before="140" w:line="247" w:lineRule="auto"/>
        <w:ind w:left="1338" w:right="1307" w:firstLine="1"/>
        <w:jc w:val="center"/>
        <w:outlineLvl w:val="0"/>
        <w:rPr>
          <w:rFonts w:hint="eastAsia" w:ascii="仿宋" w:hAnsi="仿宋" w:eastAsia="仿宋" w:cs="仿宋"/>
          <w:spacing w:val="7"/>
          <w:sz w:val="43"/>
          <w:szCs w:val="43"/>
          <w:lang w:eastAsia="zh-CN"/>
        </w:rPr>
      </w:pPr>
      <w:r>
        <w:rPr>
          <w:rFonts w:hint="eastAsia" w:ascii="仿宋" w:hAnsi="仿宋" w:eastAsia="仿宋" w:cs="仿宋"/>
          <w:spacing w:val="7"/>
          <w:sz w:val="43"/>
          <w:szCs w:val="43"/>
        </w:rPr>
        <w:t>东兴</w:t>
      </w:r>
      <w:r>
        <w:rPr>
          <w:rFonts w:hint="eastAsia" w:ascii="仿宋" w:hAnsi="仿宋" w:eastAsia="仿宋" w:cs="仿宋"/>
          <w:spacing w:val="7"/>
          <w:sz w:val="43"/>
          <w:szCs w:val="43"/>
          <w:lang w:eastAsia="zh-CN"/>
        </w:rPr>
        <w:t>铝业嘉峪关分公司</w:t>
      </w:r>
    </w:p>
    <w:p>
      <w:pPr>
        <w:spacing w:before="140" w:line="247" w:lineRule="auto"/>
        <w:ind w:left="1338" w:right="1307" w:firstLine="1"/>
        <w:outlineLvl w:val="0"/>
        <w:rPr>
          <w:rFonts w:hint="eastAsia" w:ascii="仿宋" w:hAnsi="仿宋" w:eastAsia="仿宋" w:cs="仿宋"/>
          <w:sz w:val="43"/>
          <w:szCs w:val="43"/>
        </w:rPr>
      </w:pPr>
      <w:r>
        <w:rPr>
          <w:rFonts w:hint="eastAsia" w:ascii="仿宋" w:hAnsi="仿宋" w:eastAsia="仿宋" w:cs="仿宋"/>
          <w:spacing w:val="7"/>
          <w:sz w:val="43"/>
          <w:szCs w:val="43"/>
        </w:rPr>
        <w:t>铝合金元素添加剂技术规格书</w:t>
      </w: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  <w:bookmarkStart w:id="0" w:name="_GoBack"/>
      <w:bookmarkEnd w:id="0"/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5" w:lineRule="auto"/>
        <w:rPr>
          <w:rFonts w:hint="eastAsia" w:ascii="仿宋" w:hAnsi="仿宋" w:eastAsia="仿宋" w:cs="仿宋"/>
        </w:rPr>
      </w:pPr>
    </w:p>
    <w:p>
      <w:pPr>
        <w:pStyle w:val="2"/>
        <w:spacing w:line="246" w:lineRule="auto"/>
        <w:rPr>
          <w:rFonts w:hint="eastAsia" w:ascii="仿宋" w:hAnsi="仿宋" w:eastAsia="仿宋" w:cs="仿宋"/>
        </w:rPr>
      </w:pPr>
    </w:p>
    <w:p>
      <w:pPr>
        <w:pStyle w:val="2"/>
        <w:spacing w:line="246" w:lineRule="auto"/>
        <w:rPr>
          <w:rFonts w:hint="eastAsia" w:ascii="仿宋" w:hAnsi="仿宋" w:eastAsia="仿宋" w:cs="仿宋"/>
        </w:rPr>
      </w:pPr>
    </w:p>
    <w:p>
      <w:pPr>
        <w:pStyle w:val="2"/>
        <w:spacing w:line="246" w:lineRule="auto"/>
        <w:rPr>
          <w:rFonts w:hint="eastAsia" w:ascii="仿宋" w:hAnsi="仿宋" w:eastAsia="仿宋" w:cs="仿宋"/>
        </w:rPr>
      </w:pPr>
    </w:p>
    <w:p>
      <w:pPr>
        <w:pStyle w:val="2"/>
        <w:spacing w:line="246" w:lineRule="auto"/>
        <w:rPr>
          <w:rFonts w:hint="eastAsia" w:ascii="仿宋" w:hAnsi="仿宋" w:eastAsia="仿宋" w:cs="仿宋"/>
        </w:rPr>
      </w:pPr>
    </w:p>
    <w:p>
      <w:pPr>
        <w:spacing w:before="101" w:line="228" w:lineRule="auto"/>
        <w:ind w:left="1637" w:firstLine="320" w:firstLineChars="10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5"/>
          <w:sz w:val="31"/>
          <w:szCs w:val="31"/>
        </w:rPr>
        <w:t>技术规格书编号：</w:t>
      </w:r>
    </w:p>
    <w:p>
      <w:pPr>
        <w:pStyle w:val="2"/>
        <w:spacing w:line="249" w:lineRule="auto"/>
        <w:rPr>
          <w:rFonts w:hint="eastAsia" w:ascii="仿宋" w:hAnsi="仿宋" w:eastAsia="仿宋" w:cs="仿宋"/>
        </w:rPr>
      </w:pPr>
    </w:p>
    <w:p>
      <w:pPr>
        <w:pStyle w:val="2"/>
        <w:spacing w:line="249" w:lineRule="auto"/>
        <w:rPr>
          <w:rFonts w:hint="eastAsia" w:ascii="仿宋" w:hAnsi="仿宋" w:eastAsia="仿宋" w:cs="仿宋"/>
        </w:rPr>
      </w:pPr>
    </w:p>
    <w:p>
      <w:pPr>
        <w:pStyle w:val="2"/>
        <w:spacing w:line="249" w:lineRule="auto"/>
        <w:rPr>
          <w:rFonts w:hint="eastAsia" w:ascii="仿宋" w:hAnsi="仿宋" w:eastAsia="仿宋" w:cs="仿宋"/>
        </w:rPr>
      </w:pPr>
    </w:p>
    <w:p>
      <w:pPr>
        <w:pStyle w:val="2"/>
        <w:spacing w:line="249" w:lineRule="auto"/>
        <w:rPr>
          <w:rFonts w:hint="eastAsia" w:ascii="仿宋" w:hAnsi="仿宋" w:eastAsia="仿宋" w:cs="仿宋"/>
        </w:rPr>
      </w:pPr>
    </w:p>
    <w:p>
      <w:pPr>
        <w:pStyle w:val="2"/>
        <w:spacing w:line="249" w:lineRule="auto"/>
        <w:rPr>
          <w:rFonts w:hint="eastAsia" w:ascii="仿宋" w:hAnsi="仿宋" w:eastAsia="仿宋" w:cs="仿宋"/>
        </w:rPr>
      </w:pPr>
    </w:p>
    <w:p>
      <w:pPr>
        <w:pStyle w:val="2"/>
        <w:spacing w:line="249" w:lineRule="auto"/>
        <w:rPr>
          <w:rFonts w:hint="eastAsia" w:ascii="仿宋" w:hAnsi="仿宋" w:eastAsia="仿宋" w:cs="仿宋"/>
        </w:rPr>
      </w:pPr>
    </w:p>
    <w:p>
      <w:pPr>
        <w:pStyle w:val="2"/>
        <w:spacing w:line="249" w:lineRule="auto"/>
        <w:rPr>
          <w:rFonts w:hint="eastAsia" w:ascii="仿宋" w:hAnsi="仿宋" w:eastAsia="仿宋" w:cs="仿宋"/>
        </w:rPr>
      </w:pPr>
    </w:p>
    <w:p>
      <w:pPr>
        <w:pStyle w:val="2"/>
        <w:spacing w:line="249" w:lineRule="auto"/>
        <w:rPr>
          <w:rFonts w:hint="eastAsia" w:ascii="仿宋" w:hAnsi="仿宋" w:eastAsia="仿宋" w:cs="仿宋"/>
        </w:rPr>
      </w:pPr>
    </w:p>
    <w:p>
      <w:pPr>
        <w:pStyle w:val="2"/>
        <w:spacing w:line="250" w:lineRule="auto"/>
        <w:rPr>
          <w:rFonts w:hint="eastAsia" w:ascii="仿宋" w:hAnsi="仿宋" w:eastAsia="仿宋" w:cs="仿宋"/>
        </w:rPr>
      </w:pPr>
    </w:p>
    <w:p>
      <w:pPr>
        <w:pStyle w:val="2"/>
        <w:spacing w:line="250" w:lineRule="auto"/>
        <w:rPr>
          <w:rFonts w:hint="eastAsia" w:ascii="仿宋" w:hAnsi="仿宋" w:eastAsia="仿宋" w:cs="仿宋"/>
        </w:rPr>
      </w:pPr>
    </w:p>
    <w:p>
      <w:pPr>
        <w:spacing w:before="101" w:line="357" w:lineRule="auto"/>
        <w:ind w:left="1336" w:right="1921" w:firstLine="19"/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5"/>
          <w:sz w:val="31"/>
          <w:szCs w:val="31"/>
        </w:rPr>
        <w:t>甲方：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  <w:t>东兴铝业嘉峪关分公司</w:t>
      </w:r>
    </w:p>
    <w:p>
      <w:pPr>
        <w:spacing w:before="101" w:line="357" w:lineRule="auto"/>
        <w:ind w:left="1336" w:right="1921" w:firstLine="19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9"/>
          <w:sz w:val="31"/>
          <w:szCs w:val="31"/>
        </w:rPr>
        <w:t>乙方：</w:t>
      </w:r>
    </w:p>
    <w:p>
      <w:pPr>
        <w:spacing w:line="357" w:lineRule="auto"/>
        <w:rPr>
          <w:rFonts w:hint="eastAsia" w:ascii="仿宋" w:hAnsi="仿宋" w:eastAsia="仿宋" w:cs="仿宋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81" w:line="223" w:lineRule="auto"/>
        <w:ind w:left="1390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9"/>
          <w:sz w:val="28"/>
          <w:szCs w:val="28"/>
        </w:rPr>
        <w:t>1</w:t>
      </w:r>
      <w:r>
        <w:rPr>
          <w:rFonts w:hint="eastAsia" w:ascii="仿宋" w:hAnsi="仿宋" w:eastAsia="仿宋" w:cs="仿宋"/>
          <w:spacing w:val="1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19"/>
          <w:sz w:val="28"/>
          <w:szCs w:val="28"/>
        </w:rPr>
        <w:t>概述</w:t>
      </w:r>
    </w:p>
    <w:p>
      <w:pPr>
        <w:spacing w:before="285" w:line="222" w:lineRule="auto"/>
        <w:ind w:left="197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甲方向乙方采购的铝合金元素添加剂事宜中有关物资的供货要</w:t>
      </w:r>
    </w:p>
    <w:p>
      <w:pPr>
        <w:spacing w:before="287" w:line="222" w:lineRule="auto"/>
        <w:ind w:left="138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求、技术标准等都已进行了充分讨论，经双方友好协商达成协议。</w:t>
      </w:r>
    </w:p>
    <w:p>
      <w:pPr>
        <w:spacing w:before="156" w:line="218" w:lineRule="auto"/>
        <w:ind w:left="138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0"/>
          <w:sz w:val="28"/>
          <w:szCs w:val="28"/>
        </w:rPr>
        <w:t>2</w:t>
      </w:r>
      <w:r>
        <w:rPr>
          <w:rFonts w:hint="eastAsia"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10"/>
          <w:sz w:val="28"/>
          <w:szCs w:val="28"/>
        </w:rPr>
        <w:t>技术指标</w:t>
      </w:r>
    </w:p>
    <w:p>
      <w:pPr>
        <w:spacing w:before="215" w:line="311" w:lineRule="auto"/>
        <w:ind w:left="5309" w:right="3371" w:hanging="336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9"/>
          <w:sz w:val="28"/>
          <w:szCs w:val="28"/>
        </w:rPr>
        <w:t>2.1</w:t>
      </w:r>
      <w:r>
        <w:rPr>
          <w:rFonts w:hint="eastAsia"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9"/>
          <w:sz w:val="28"/>
          <w:szCs w:val="28"/>
        </w:rPr>
        <w:t>添加剂的主要化学成分应符合表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9"/>
          <w:sz w:val="28"/>
          <w:szCs w:val="28"/>
        </w:rPr>
        <w:t>1</w:t>
      </w:r>
      <w:r>
        <w:rPr>
          <w:rFonts w:hint="eastAsia"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9"/>
          <w:sz w:val="28"/>
          <w:szCs w:val="28"/>
        </w:rPr>
        <w:t>的规定：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表</w:t>
      </w:r>
      <w:r>
        <w:rPr>
          <w:rFonts w:hint="eastAsia" w:ascii="仿宋" w:hAnsi="仿宋" w:eastAsia="仿宋" w:cs="仿宋"/>
          <w:spacing w:val="-3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1</w:t>
      </w:r>
    </w:p>
    <w:tbl>
      <w:tblPr>
        <w:tblStyle w:val="5"/>
        <w:tblW w:w="110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885"/>
        <w:gridCol w:w="833"/>
        <w:gridCol w:w="865"/>
        <w:gridCol w:w="920"/>
        <w:gridCol w:w="793"/>
        <w:gridCol w:w="920"/>
        <w:gridCol w:w="872"/>
        <w:gridCol w:w="983"/>
        <w:gridCol w:w="1005"/>
        <w:gridCol w:w="15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390" w:type="dxa"/>
            <w:vAlign w:val="top"/>
          </w:tcPr>
          <w:p>
            <w:pPr>
              <w:pStyle w:val="6"/>
              <w:spacing w:before="196" w:line="223" w:lineRule="auto"/>
              <w:ind w:left="47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类别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196" w:line="226" w:lineRule="auto"/>
              <w:ind w:left="20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Fe/%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96" w:line="226" w:lineRule="auto"/>
              <w:ind w:left="17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Mn/%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96" w:line="226" w:lineRule="auto"/>
              <w:ind w:left="19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Cu/%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96" w:line="226" w:lineRule="auto"/>
              <w:ind w:left="2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Ti/%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96" w:line="226" w:lineRule="auto"/>
              <w:ind w:left="16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Si/%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96" w:line="226" w:lineRule="auto"/>
              <w:ind w:left="22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Cr/%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96" w:line="226" w:lineRule="auto"/>
              <w:ind w:left="20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Zn/%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196" w:line="223" w:lineRule="auto"/>
              <w:ind w:left="1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水分/%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9" w:line="224" w:lineRule="auto"/>
              <w:ind w:left="149" w:right="138" w:firstLine="14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5"/>
              </w:rPr>
              <w:t>密度</w:t>
            </w:r>
            <w:r>
              <w:rPr>
                <w:rFonts w:hint="eastAsia"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2"/>
              </w:rPr>
              <w:t>/g/mm3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196" w:line="215" w:lineRule="auto"/>
              <w:ind w:left="19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每块重量/g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390" w:type="dxa"/>
            <w:vMerge w:val="restart"/>
            <w:tcBorders>
              <w:bottom w:val="nil"/>
            </w:tcBorders>
            <w:vAlign w:val="top"/>
          </w:tcPr>
          <w:p>
            <w:pPr>
              <w:spacing w:line="43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6"/>
              <w:spacing w:before="78" w:line="223" w:lineRule="auto"/>
              <w:ind w:left="47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铁剂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34" w:line="208" w:lineRule="auto"/>
              <w:ind w:left="15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75±2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48" w:line="156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48" w:line="156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48" w:line="156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48" w:line="156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48" w:line="156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48" w:line="156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4" w:line="208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4" w:line="208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≥3.7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4" w:line="208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pStyle w:val="6"/>
              <w:spacing w:before="35" w:line="208" w:lineRule="auto"/>
              <w:ind w:left="1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80±2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0" w:line="155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0" w:line="155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0" w:line="155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0" w:line="155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0" w:line="155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0" w:line="155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5" w:line="208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5" w:line="208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≥3.7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5" w:line="208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pStyle w:val="6"/>
              <w:spacing w:before="36" w:line="207" w:lineRule="auto"/>
              <w:ind w:left="1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85±2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0" w:line="155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0" w:line="155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0" w:line="155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0" w:line="155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0" w:line="155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0" w:line="155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6" w:line="207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6" w:line="207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≥3.7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6" w:line="207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pStyle w:val="6"/>
              <w:spacing w:before="36" w:line="207" w:lineRule="auto"/>
              <w:ind w:left="1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90±2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1" w:line="154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1" w:line="154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1" w:line="154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1" w:line="154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1" w:line="154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1" w:line="154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6" w:line="207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6" w:line="207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≥3.7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6" w:line="207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98" w:line="223" w:lineRule="auto"/>
              <w:ind w:left="46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锰剂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152" w:line="153" w:lineRule="exact"/>
              <w:ind w:left="3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38" w:line="206" w:lineRule="auto"/>
              <w:ind w:left="1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75±2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2" w:line="153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2" w:line="153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2" w:line="153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2" w:line="153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2" w:line="153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8" w:line="206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8" w:line="206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≥3.7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8" w:line="206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pStyle w:val="6"/>
              <w:spacing w:before="152" w:line="153" w:lineRule="exact"/>
              <w:ind w:left="3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38" w:line="206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85±2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2" w:line="153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2" w:line="153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2" w:line="153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2" w:line="153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2" w:line="153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8" w:line="206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8" w:line="206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≥3.7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8" w:line="206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Align w:val="top"/>
          </w:tcPr>
          <w:p>
            <w:pPr>
              <w:pStyle w:val="6"/>
              <w:spacing w:before="39" w:line="205" w:lineRule="auto"/>
              <w:ind w:left="47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铜剂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153" w:line="152" w:lineRule="exact"/>
              <w:ind w:left="3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3" w:line="152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39" w:line="205" w:lineRule="auto"/>
              <w:ind w:left="14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75±2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3" w:line="152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3" w:line="152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3" w:line="152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3" w:line="152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9" w:line="205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9" w:line="205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≥4.0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9" w:line="205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Align w:val="top"/>
          </w:tcPr>
          <w:p>
            <w:pPr>
              <w:pStyle w:val="6"/>
              <w:spacing w:before="39" w:line="205" w:lineRule="auto"/>
              <w:ind w:left="46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钛剂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153" w:line="152" w:lineRule="exact"/>
              <w:ind w:left="3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3" w:line="152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3" w:line="152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39" w:line="205" w:lineRule="auto"/>
              <w:ind w:left="17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75±2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3" w:line="152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3" w:line="152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3" w:line="152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9" w:line="205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9" w:line="205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≥2.7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9" w:line="205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Align w:val="top"/>
          </w:tcPr>
          <w:p>
            <w:pPr>
              <w:pStyle w:val="6"/>
              <w:spacing w:before="38" w:line="206" w:lineRule="auto"/>
              <w:ind w:left="46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铬剂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152" w:line="153" w:lineRule="exact"/>
              <w:ind w:left="3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2" w:line="153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2" w:line="153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2" w:line="153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2" w:line="153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38" w:line="206" w:lineRule="auto"/>
              <w:ind w:left="17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75±2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2" w:line="153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8" w:line="206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8" w:line="206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≥3.7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8" w:line="206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Align w:val="top"/>
          </w:tcPr>
          <w:p>
            <w:pPr>
              <w:pStyle w:val="6"/>
              <w:spacing w:before="38" w:line="206" w:lineRule="auto"/>
              <w:ind w:left="46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锌剂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152" w:line="153" w:lineRule="exact"/>
              <w:ind w:left="3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2" w:line="153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2" w:line="153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2" w:line="153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2" w:line="153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2" w:line="153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38" w:line="206" w:lineRule="auto"/>
              <w:ind w:left="14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75±2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8" w:line="206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152" w:line="153" w:lineRule="exact"/>
              <w:ind w:left="38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8" w:line="206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Align w:val="top"/>
          </w:tcPr>
          <w:p>
            <w:pPr>
              <w:pStyle w:val="6"/>
              <w:spacing w:before="39" w:line="205" w:lineRule="auto"/>
              <w:ind w:left="34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速溶硅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153" w:line="152" w:lineRule="exact"/>
              <w:ind w:left="3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3" w:line="152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3" w:line="152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3" w:line="152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39" w:line="205" w:lineRule="auto"/>
              <w:ind w:left="18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1"/>
              </w:rPr>
              <w:t>≥95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3" w:line="152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3" w:line="152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9" w:line="205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153" w:line="152" w:lineRule="exact"/>
              <w:ind w:left="38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153" w:line="152" w:lineRule="exact"/>
              <w:ind w:left="66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90" w:type="dxa"/>
            <w:vAlign w:val="top"/>
          </w:tcPr>
          <w:p>
            <w:pPr>
              <w:pStyle w:val="6"/>
              <w:spacing w:before="39" w:line="205" w:lineRule="auto"/>
              <w:ind w:left="12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75</w:t>
            </w:r>
            <w:r>
              <w:rPr>
                <w:rFonts w:hint="eastAsia" w:ascii="仿宋" w:hAnsi="仿宋" w:eastAsia="仿宋" w:cs="仿宋"/>
                <w:spacing w:val="-5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</w:rPr>
              <w:t>锰+10</w:t>
            </w:r>
            <w:r>
              <w:rPr>
                <w:rFonts w:hint="eastAsia" w:ascii="仿宋" w:hAnsi="仿宋" w:eastAsia="仿宋" w:cs="仿宋"/>
                <w:spacing w:val="-5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</w:rPr>
              <w:t>铁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39" w:line="205" w:lineRule="auto"/>
              <w:ind w:left="16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10±2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39" w:line="205" w:lineRule="auto"/>
              <w:ind w:left="1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75±2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3" w:line="152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3" w:line="152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153" w:line="152" w:lineRule="exact"/>
              <w:ind w:left="2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3" w:line="152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3" w:line="152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39" w:line="205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39" w:line="205" w:lineRule="auto"/>
              <w:ind w:left="2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≥3.7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39" w:line="205" w:lineRule="auto"/>
              <w:ind w:left="1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500/1000±5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90" w:type="dxa"/>
            <w:vAlign w:val="top"/>
          </w:tcPr>
          <w:p>
            <w:pPr>
              <w:pStyle w:val="6"/>
              <w:spacing w:before="40" w:line="207" w:lineRule="auto"/>
              <w:ind w:left="3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工业硅</w:t>
            </w:r>
          </w:p>
        </w:tc>
        <w:tc>
          <w:tcPr>
            <w:tcW w:w="885" w:type="dxa"/>
            <w:vAlign w:val="top"/>
          </w:tcPr>
          <w:p>
            <w:pPr>
              <w:pStyle w:val="6"/>
              <w:spacing w:before="154" w:line="156" w:lineRule="exact"/>
              <w:ind w:left="3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33" w:type="dxa"/>
            <w:vAlign w:val="top"/>
          </w:tcPr>
          <w:p>
            <w:pPr>
              <w:pStyle w:val="6"/>
              <w:spacing w:before="154" w:line="156" w:lineRule="exact"/>
              <w:ind w:left="2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65" w:type="dxa"/>
            <w:vAlign w:val="top"/>
          </w:tcPr>
          <w:p>
            <w:pPr>
              <w:pStyle w:val="6"/>
              <w:spacing w:before="154" w:line="156" w:lineRule="exact"/>
              <w:ind w:left="3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4" w:line="156" w:lineRule="exact"/>
              <w:ind w:left="34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793" w:type="dxa"/>
            <w:vAlign w:val="top"/>
          </w:tcPr>
          <w:p>
            <w:pPr>
              <w:pStyle w:val="6"/>
              <w:spacing w:before="40" w:line="207" w:lineRule="auto"/>
              <w:ind w:left="18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1"/>
              </w:rPr>
              <w:t>≥99</w:t>
            </w:r>
          </w:p>
        </w:tc>
        <w:tc>
          <w:tcPr>
            <w:tcW w:w="920" w:type="dxa"/>
            <w:vAlign w:val="top"/>
          </w:tcPr>
          <w:p>
            <w:pPr>
              <w:pStyle w:val="6"/>
              <w:spacing w:before="154" w:line="156" w:lineRule="exact"/>
              <w:ind w:left="3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154" w:line="156" w:lineRule="exact"/>
              <w:ind w:left="3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983" w:type="dxa"/>
            <w:vAlign w:val="top"/>
          </w:tcPr>
          <w:p>
            <w:pPr>
              <w:pStyle w:val="6"/>
              <w:spacing w:before="40" w:line="207" w:lineRule="auto"/>
              <w:ind w:left="15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≤0.15</w:t>
            </w:r>
          </w:p>
        </w:tc>
        <w:tc>
          <w:tcPr>
            <w:tcW w:w="1005" w:type="dxa"/>
            <w:vAlign w:val="top"/>
          </w:tcPr>
          <w:p>
            <w:pPr>
              <w:pStyle w:val="6"/>
              <w:spacing w:before="154" w:line="156" w:lineRule="exact"/>
              <w:ind w:left="38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  <w:tc>
          <w:tcPr>
            <w:tcW w:w="1554" w:type="dxa"/>
            <w:vAlign w:val="top"/>
          </w:tcPr>
          <w:p>
            <w:pPr>
              <w:pStyle w:val="6"/>
              <w:spacing w:before="154" w:line="156" w:lineRule="exact"/>
              <w:ind w:left="66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-4"/>
              </w:rPr>
              <w:t>—</w:t>
            </w:r>
          </w:p>
        </w:tc>
      </w:tr>
    </w:tbl>
    <w:p>
      <w:pPr>
        <w:spacing w:before="43" w:line="216" w:lineRule="auto"/>
        <w:ind w:left="1940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2.2 根据</w:t>
      </w:r>
      <w:r>
        <w:rPr>
          <w:rFonts w:hint="eastAsia"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YS/T 492-2012《铝及铝合金成分添加剂》中华人民共</w:t>
      </w:r>
    </w:p>
    <w:p>
      <w:pPr>
        <w:spacing w:before="218" w:line="352" w:lineRule="auto"/>
        <w:ind w:left="1368" w:right="1359" w:firstLine="8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和国有色金属行业标准中第</w:t>
      </w:r>
      <w:r>
        <w:rPr>
          <w:rFonts w:hint="eastAsia"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4.2</w:t>
      </w:r>
      <w:r>
        <w:rPr>
          <w:rFonts w:hint="eastAsia"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条中“添加剂中除纯金属以外的添加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物质中不允许使用容易使铝及铝合金吸收的</w:t>
      </w:r>
      <w:r>
        <w:rPr>
          <w:rFonts w:hint="eastAsia" w:ascii="仿宋" w:hAnsi="仿宋" w:eastAsia="仿宋" w:cs="仿宋"/>
          <w:spacing w:val="-5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Na、Li、Sr</w:t>
      </w:r>
      <w:r>
        <w:rPr>
          <w:rFonts w:hint="eastAsia"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等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元素” 的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标准规定，元素添加剂中不得含有除主元素外其它导致成分异常变化</w:t>
      </w:r>
      <w:r>
        <w:rPr>
          <w:rFonts w:hint="eastAsia"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的其它金属或非金属元素。</w:t>
      </w:r>
    </w:p>
    <w:p>
      <w:pPr>
        <w:spacing w:before="42" w:line="218" w:lineRule="auto"/>
        <w:ind w:left="1940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2.3</w:t>
      </w:r>
      <w:r>
        <w:rPr>
          <w:rFonts w:hint="eastAsia"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实收率</w:t>
      </w:r>
    </w:p>
    <w:p>
      <w:pPr>
        <w:spacing w:before="214" w:line="215" w:lineRule="auto"/>
        <w:ind w:left="1940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2.3.1 乙方所供添加剂，在甲方固定工艺条件下，钛剂、铜剂、</w:t>
      </w:r>
    </w:p>
    <w:p>
      <w:pPr>
        <w:spacing w:before="218" w:line="344" w:lineRule="auto"/>
        <w:ind w:left="1372" w:right="1359" w:hanging="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铬剂、锌剂的平均实收率（10</w:t>
      </w:r>
      <w:r>
        <w:rPr>
          <w:rFonts w:hint="eastAsia"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炉次以上）必须在</w:t>
      </w:r>
      <w:r>
        <w:rPr>
          <w:rFonts w:hint="eastAsia"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90%以上；其他铝合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金金属添加剂平均实收率（</w:t>
      </w:r>
      <w:r>
        <w:rPr>
          <w:rFonts w:hint="eastAsia" w:ascii="仿宋" w:hAnsi="仿宋" w:eastAsia="仿宋" w:cs="仿宋"/>
          <w:spacing w:val="-7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10</w:t>
      </w:r>
      <w:r>
        <w:rPr>
          <w:rFonts w:hint="eastAsia"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炉次以上）必须在</w:t>
      </w:r>
      <w:r>
        <w:rPr>
          <w:rFonts w:hint="eastAsia"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95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%以上。</w:t>
      </w:r>
    </w:p>
    <w:p>
      <w:pPr>
        <w:spacing w:before="47" w:line="216" w:lineRule="auto"/>
        <w:ind w:left="1940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2.3.2</w:t>
      </w:r>
      <w:r>
        <w:rPr>
          <w:rFonts w:hint="eastAsia"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实收率的检测方法</w:t>
      </w:r>
    </w:p>
    <w:p>
      <w:pPr>
        <w:spacing w:line="216" w:lineRule="auto"/>
        <w:rPr>
          <w:rFonts w:hint="eastAsia" w:ascii="仿宋" w:hAnsi="仿宋" w:eastAsia="仿宋" w:cs="仿宋"/>
          <w:sz w:val="28"/>
          <w:szCs w:val="28"/>
        </w:rPr>
        <w:sectPr>
          <w:pgSz w:w="11906" w:h="16839"/>
          <w:pgMar w:top="1431" w:right="440" w:bottom="0" w:left="440" w:header="0" w:footer="0" w:gutter="0"/>
          <w:cols w:space="720" w:num="1"/>
        </w:sectPr>
      </w:pPr>
    </w:p>
    <w:p>
      <w:pPr>
        <w:spacing w:before="57" w:line="343" w:lineRule="auto"/>
        <w:ind w:left="34" w:right="138"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"2.3.2.1"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仿宋" w:hAnsi="仿宋" w:eastAsia="仿宋" w:cs="仿宋"/>
          <w:spacing w:val="-2"/>
          <w:sz w:val="28"/>
          <w:szCs w:val="28"/>
        </w:rPr>
        <w:t>2.3.2.1</w:t>
      </w:r>
      <w:r>
        <w:rPr>
          <w:rFonts w:hint="eastAsia" w:ascii="仿宋" w:hAnsi="仿宋" w:eastAsia="仿宋" w:cs="仿宋"/>
          <w:spacing w:val="-2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实收率指熔炼某种合金时加入所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需添加剂后，添加剂中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纯金属熔于合金的数量与添加剂中纯金属的总量的百分数。</w:t>
      </w:r>
    </w:p>
    <w:p>
      <w:pPr>
        <w:spacing w:before="48" w:line="216" w:lineRule="auto"/>
        <w:ind w:left="59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"2.3.2.2"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仿宋" w:hAnsi="仿宋" w:eastAsia="仿宋" w:cs="仿宋"/>
          <w:spacing w:val="-3"/>
          <w:sz w:val="28"/>
          <w:szCs w:val="28"/>
        </w:rPr>
        <w:t>2.3.2.2</w:t>
      </w:r>
      <w:r>
        <w:rPr>
          <w:rFonts w:hint="eastAsia" w:ascii="仿宋" w:hAnsi="仿宋" w:eastAsia="仿宋" w:cs="仿宋"/>
          <w:spacing w:val="-3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熔化温度</w:t>
      </w:r>
    </w:p>
    <w:p>
      <w:pPr>
        <w:spacing w:before="216" w:line="214" w:lineRule="auto"/>
        <w:ind w:left="62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乙方所供添加剂，在甲方固定工艺条件下，配料静置反应溶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解时</w:t>
      </w:r>
    </w:p>
    <w:p>
      <w:pPr>
        <w:spacing w:before="219" w:line="216" w:lineRule="auto"/>
        <w:ind w:left="54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间不得超过</w:t>
      </w:r>
      <w:r>
        <w:rPr>
          <w:rFonts w:hint="eastAsia"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30</w:t>
      </w:r>
      <w:r>
        <w:rPr>
          <w:rFonts w:hint="eastAsia"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分钟；添加剂在</w:t>
      </w:r>
      <w:r>
        <w:rPr>
          <w:rFonts w:hint="eastAsia"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720-750℃的熔体温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度下必须保证全</w:t>
      </w:r>
    </w:p>
    <w:p>
      <w:pPr>
        <w:spacing w:before="219" w:line="344" w:lineRule="auto"/>
        <w:ind w:left="35" w:right="138" w:hanging="1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部熔化，其余未规定的标准，参照</w:t>
      </w:r>
      <w:r>
        <w:rPr>
          <w:rFonts w:hint="eastAsia"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YS/T 492-20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12《铝及铝合金成分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添加剂》执行。</w:t>
      </w:r>
    </w:p>
    <w:p>
      <w:pPr>
        <w:spacing w:before="44" w:line="220" w:lineRule="auto"/>
        <w:ind w:left="59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"2.3.2.3"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仿宋" w:hAnsi="仿宋" w:eastAsia="仿宋" w:cs="仿宋"/>
          <w:spacing w:val="-4"/>
          <w:sz w:val="28"/>
          <w:szCs w:val="28"/>
        </w:rPr>
        <w:t>2.3.2.3</w:t>
      </w:r>
      <w:r>
        <w:rPr>
          <w:rFonts w:hint="eastAsia" w:ascii="仿宋" w:hAnsi="仿宋" w:eastAsia="仿宋" w:cs="仿宋"/>
          <w:spacing w:val="-4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添加方法</w:t>
      </w:r>
    </w:p>
    <w:p>
      <w:pPr>
        <w:spacing w:before="213" w:line="349" w:lineRule="auto"/>
        <w:ind w:left="27" w:right="138"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将需要加入的添加剂，在保证熔体温度不低于</w:t>
      </w:r>
      <w:r>
        <w:rPr>
          <w:rFonts w:hint="eastAsia"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720℃条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件下，人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工加入到熔体中，静置</w:t>
      </w:r>
      <w:r>
        <w:rPr>
          <w:rFonts w:hint="eastAsia"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20-30min，均匀搅拌后，取样分析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所加入的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金属含量。</w:t>
      </w:r>
    </w:p>
    <w:p>
      <w:pPr>
        <w:spacing w:before="45" w:line="214" w:lineRule="auto"/>
        <w:ind w:left="59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"2.3.2.4"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仿宋" w:hAnsi="仿宋" w:eastAsia="仿宋" w:cs="仿宋"/>
          <w:spacing w:val="-3"/>
          <w:sz w:val="28"/>
          <w:szCs w:val="28"/>
        </w:rPr>
        <w:t>2.3.2.4</w:t>
      </w:r>
      <w:r>
        <w:rPr>
          <w:rFonts w:hint="eastAsia" w:ascii="仿宋" w:hAnsi="仿宋" w:eastAsia="仿宋" w:cs="仿宋"/>
          <w:spacing w:val="-3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结果的表示和计算</w:t>
      </w:r>
    </w:p>
    <w:p>
      <w:pPr>
        <w:spacing w:before="220" w:line="343" w:lineRule="auto"/>
        <w:ind w:left="26" w:right="138" w:firstLine="5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测算实收率时熔炼炉不允许添加合金废料，只允许添加铝锭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及电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解铝液。</w:t>
      </w:r>
    </w:p>
    <w:p>
      <w:pPr>
        <w:spacing w:before="51" w:line="343" w:lineRule="auto"/>
        <w:ind w:left="40" w:firstLine="54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钛、铜、铬、锌：试验时测算实收率=装炉量（铝锭及电解铝液）</w:t>
      </w:r>
      <w:r>
        <w:rPr>
          <w:rFonts w:hint="eastAsia"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*目标元素含量（指配料后元素含量）/加入的目标添加剂量/75%</w:t>
      </w:r>
    </w:p>
    <w:p>
      <w:pPr>
        <w:spacing w:before="47" w:line="348" w:lineRule="auto"/>
        <w:ind w:left="25" w:right="184" w:firstLine="56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铁、锰、75</w:t>
      </w:r>
      <w:r>
        <w:rPr>
          <w:rFonts w:hint="eastAsia"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锰+10</w:t>
      </w:r>
      <w:r>
        <w:rPr>
          <w:rFonts w:hint="eastAsia"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铁、速溶硅、工业硅：试验时测算实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收率=装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炉量*（</w:t>
      </w:r>
      <w:r>
        <w:rPr>
          <w:rFonts w:hint="eastAsia"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目标元素配料后含量-目标元素初始原样值）/加入的目标添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加剂量/添加剂理论元素含量</w:t>
      </w:r>
    </w:p>
    <w:p>
      <w:pPr>
        <w:spacing w:before="51" w:line="215" w:lineRule="auto"/>
        <w:ind w:left="59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</w:rPr>
        <w:t>2.4</w:t>
      </w:r>
      <w:r>
        <w:rPr>
          <w:rFonts w:hint="eastAsia"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7"/>
          <w:sz w:val="28"/>
          <w:szCs w:val="28"/>
        </w:rPr>
        <w:t>外观质量</w:t>
      </w:r>
    </w:p>
    <w:p>
      <w:pPr>
        <w:spacing w:before="218" w:line="344" w:lineRule="auto"/>
        <w:ind w:left="37" w:right="138" w:firstLine="54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进入公司的铝及铝合金元素添加剂要求包装完好，添加剂不允许</w:t>
      </w:r>
      <w:r>
        <w:rPr>
          <w:rFonts w:hint="eastAsia"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潮解。</w:t>
      </w:r>
    </w:p>
    <w:p>
      <w:pPr>
        <w:spacing w:before="45" w:line="215" w:lineRule="auto"/>
        <w:ind w:left="59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2.5</w:t>
      </w:r>
      <w:r>
        <w:rPr>
          <w:rFonts w:hint="eastAsia"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质量保证</w:t>
      </w:r>
    </w:p>
    <w:p>
      <w:pPr>
        <w:spacing w:before="218" w:line="287" w:lineRule="auto"/>
        <w:ind w:left="31" w:right="138" w:firstLine="56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2.5.1 乙方所供添加剂，在甲方固定工艺条件下使用，在后续质</w:t>
      </w:r>
      <w:r>
        <w:rPr>
          <w:rFonts w:hint="eastAsia"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量检测过程中，不得因添加剂的质量缺陷造成普通板材在后续轧制过</w:t>
      </w:r>
    </w:p>
    <w:p>
      <w:pPr>
        <w:spacing w:line="287" w:lineRule="auto"/>
        <w:rPr>
          <w:rFonts w:hint="eastAsia" w:ascii="仿宋" w:hAnsi="仿宋" w:eastAsia="仿宋" w:cs="仿宋"/>
          <w:sz w:val="28"/>
          <w:szCs w:val="28"/>
        </w:rPr>
        <w:sectPr>
          <w:pgSz w:w="11906" w:h="16839"/>
          <w:pgMar w:top="1425" w:right="1660" w:bottom="0" w:left="1785" w:header="0" w:footer="0" w:gutter="0"/>
          <w:cols w:space="720" w:num="1"/>
        </w:sectPr>
      </w:pPr>
    </w:p>
    <w:p>
      <w:pPr>
        <w:spacing w:before="56" w:line="214" w:lineRule="auto"/>
        <w:ind w:left="2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程中出现偏析等质量缺陷；单零铝箔轧制到</w:t>
      </w:r>
      <w:r>
        <w:rPr>
          <w:rFonts w:hint="eastAsia"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0.01mm</w:t>
      </w:r>
      <w:r>
        <w:rPr>
          <w:rFonts w:hint="eastAsia"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厚度出现偏析、</w:t>
      </w:r>
    </w:p>
    <w:p>
      <w:pPr>
        <w:spacing w:before="217" w:line="216" w:lineRule="auto"/>
        <w:jc w:val="right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孔洞等质量缺陷；双零铝箔轧制到</w:t>
      </w:r>
      <w:r>
        <w:rPr>
          <w:rFonts w:hint="eastAsia" w:ascii="仿宋" w:hAnsi="仿宋" w:eastAsia="仿宋" w:cs="仿宋"/>
          <w:spacing w:val="-3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0.006mm</w:t>
      </w:r>
      <w:r>
        <w:rPr>
          <w:rFonts w:hint="eastAsia"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厚度针孔大于</w:t>
      </w:r>
      <w:r>
        <w:rPr>
          <w:rFonts w:hint="eastAsia"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500</w:t>
      </w:r>
      <w:r>
        <w:rPr>
          <w:rFonts w:hint="eastAsia" w:ascii="仿宋" w:hAnsi="仿宋" w:eastAsia="仿宋" w:cs="仿宋"/>
          <w:spacing w:val="-5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个/m</w:t>
      </w:r>
      <w:r>
        <w:rPr>
          <w:rFonts w:hint="eastAsia" w:ascii="仿宋" w:hAnsi="仿宋" w:eastAsia="仿宋" w:cs="仿宋"/>
          <w:spacing w:val="-5"/>
          <w:position w:val="14"/>
          <w:sz w:val="13"/>
          <w:szCs w:val="13"/>
        </w:rPr>
        <w:t>2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、</w:t>
      </w:r>
    </w:p>
    <w:p>
      <w:pPr>
        <w:spacing w:before="220" w:line="214" w:lineRule="auto"/>
        <w:ind w:left="1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板面偏析、孔洞等质量缺陷。</w:t>
      </w:r>
    </w:p>
    <w:p>
      <w:pPr>
        <w:spacing w:before="220" w:line="344" w:lineRule="auto"/>
        <w:ind w:left="26" w:right="87" w:firstLine="56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2.5.2 乙方所提供的添加剂，在甲方正常工艺使用期间的烟气排</w:t>
      </w:r>
      <w:r>
        <w:rPr>
          <w:rFonts w:hint="eastAsia"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放不得超出国家和地方环保排放标准。</w:t>
      </w:r>
    </w:p>
    <w:p>
      <w:pPr>
        <w:spacing w:before="46" w:line="216" w:lineRule="auto"/>
        <w:ind w:left="4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3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检验方法</w:t>
      </w:r>
    </w:p>
    <w:p>
      <w:pPr>
        <w:spacing w:before="216" w:line="288" w:lineRule="auto"/>
        <w:ind w:left="25" w:right="86" w:firstLine="58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3.1 添加剂目标元素含量、水分、密度、实收率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等项目检测按照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YS/T492—2021</w:t>
      </w:r>
      <w:r>
        <w:rPr>
          <w:rFonts w:hint="eastAsia" w:ascii="仿宋" w:hAnsi="仿宋" w:eastAsia="仿宋" w:cs="仿宋"/>
          <w:spacing w:val="-5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执行。</w:t>
      </w:r>
    </w:p>
    <w:p>
      <w:pPr>
        <w:spacing w:before="216" w:line="215" w:lineRule="auto"/>
        <w:ind w:left="60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3.2 添加剂外观质量用目视法检查。</w:t>
      </w:r>
    </w:p>
    <w:p>
      <w:pPr>
        <w:spacing w:before="219" w:line="216" w:lineRule="auto"/>
        <w:ind w:left="3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4</w:t>
      </w:r>
      <w:r>
        <w:rPr>
          <w:rFonts w:hint="eastAsia"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检验规则</w:t>
      </w:r>
    </w:p>
    <w:p>
      <w:pPr>
        <w:spacing w:before="217" w:line="216" w:lineRule="auto"/>
        <w:ind w:left="59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4.1 检验和验收</w:t>
      </w:r>
    </w:p>
    <w:p>
      <w:pPr>
        <w:spacing w:before="217" w:line="287" w:lineRule="auto"/>
        <w:ind w:left="31" w:right="87" w:firstLine="56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4.1.1</w:t>
      </w:r>
      <w:r>
        <w:rPr>
          <w:rFonts w:hint="eastAsia"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添加剂应由乙方进行检验，保证产品质量符合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本标准和订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单（或合同）的规定，并填写质量证明书。</w:t>
      </w:r>
    </w:p>
    <w:p>
      <w:pPr>
        <w:spacing w:before="218" w:line="323" w:lineRule="auto"/>
        <w:ind w:left="40" w:right="86" w:firstLine="55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4.1.2 甲方应对收到的产品按本标准的规定进行检验，检验结果</w:t>
      </w:r>
      <w:r>
        <w:rPr>
          <w:rFonts w:hint="eastAsia"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与本标准及订货合同的规定不符时，应以书面形式向乙方提出，由甲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乙双方协商解决。如需仲裁，可委托甲乙双方认可的单位进行，并在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甲方共同取样。</w:t>
      </w:r>
    </w:p>
    <w:p>
      <w:pPr>
        <w:spacing w:before="220" w:line="311" w:lineRule="auto"/>
        <w:ind w:left="28" w:right="67" w:firstLine="56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4.1.3</w:t>
      </w:r>
      <w:r>
        <w:rPr>
          <w:rFonts w:hint="eastAsia"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化验（检验）结果合格，允许入库；化验（检验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）结果不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合格，需双倍取样，双倍取样合格，判定该批产品合格，允许入库；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双倍取样不合格时，判定该批产品不合格，反馈供应商。</w:t>
      </w:r>
    </w:p>
    <w:p>
      <w:pPr>
        <w:spacing w:before="217" w:line="218" w:lineRule="auto"/>
        <w:ind w:left="59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</w:rPr>
        <w:t>4.2</w:t>
      </w:r>
      <w:r>
        <w:rPr>
          <w:rFonts w:hint="eastAsia"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7"/>
          <w:sz w:val="28"/>
          <w:szCs w:val="28"/>
        </w:rPr>
        <w:t>组批</w:t>
      </w:r>
    </w:p>
    <w:p>
      <w:pPr>
        <w:spacing w:before="216" w:line="343" w:lineRule="auto"/>
        <w:ind w:left="28" w:right="87" w:firstLine="5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添加剂应成批提交验收，每批应由同一牌号、规格组成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；每个混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合容器的生产量为一个批次。</w:t>
      </w:r>
    </w:p>
    <w:p>
      <w:pPr>
        <w:spacing w:before="48" w:line="216" w:lineRule="auto"/>
        <w:ind w:left="59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4.3</w:t>
      </w:r>
      <w:r>
        <w:rPr>
          <w:rFonts w:hint="eastAsia"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计重</w:t>
      </w:r>
    </w:p>
    <w:p>
      <w:pPr>
        <w:spacing w:before="217" w:line="214" w:lineRule="auto"/>
        <w:ind w:left="58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产品应按斤或千克计重。</w:t>
      </w:r>
    </w:p>
    <w:p>
      <w:pPr>
        <w:spacing w:line="214" w:lineRule="auto"/>
        <w:rPr>
          <w:rFonts w:hint="eastAsia" w:ascii="仿宋" w:hAnsi="仿宋" w:eastAsia="仿宋" w:cs="仿宋"/>
          <w:sz w:val="28"/>
          <w:szCs w:val="28"/>
        </w:rPr>
        <w:sectPr>
          <w:pgSz w:w="11906" w:h="16839"/>
          <w:pgMar w:top="1425" w:right="1712" w:bottom="0" w:left="1785" w:header="0" w:footer="0" w:gutter="0"/>
          <w:cols w:space="720" w:num="1"/>
        </w:sectPr>
      </w:pPr>
    </w:p>
    <w:p>
      <w:pPr>
        <w:spacing w:before="56" w:line="216" w:lineRule="auto"/>
        <w:ind w:left="59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4.4</w:t>
      </w:r>
      <w:r>
        <w:rPr>
          <w:rFonts w:hint="eastAsia" w:ascii="仿宋" w:hAnsi="仿宋" w:eastAsia="仿宋" w:cs="仿宋"/>
          <w:spacing w:val="-6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检验项目</w:t>
      </w:r>
    </w:p>
    <w:p>
      <w:pPr>
        <w:spacing w:before="217" w:line="343" w:lineRule="auto"/>
        <w:ind w:left="25" w:right="13" w:firstLine="55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每批产品出厂前进行化学成分、密度、水分、外观、断口组织检</w:t>
      </w:r>
      <w:r>
        <w:rPr>
          <w:rFonts w:hint="eastAsia"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查，关于实收率的检验可以按季度抽查或工艺保证。</w:t>
      </w:r>
    </w:p>
    <w:p>
      <w:pPr>
        <w:spacing w:before="48" w:line="214" w:lineRule="auto"/>
        <w:ind w:left="59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</w:rPr>
        <w:t>4.5</w:t>
      </w:r>
      <w:r>
        <w:rPr>
          <w:rFonts w:hint="eastAsia"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7"/>
          <w:sz w:val="28"/>
          <w:szCs w:val="28"/>
        </w:rPr>
        <w:t>取样</w:t>
      </w:r>
    </w:p>
    <w:p>
      <w:pPr>
        <w:spacing w:before="221" w:line="343" w:lineRule="auto"/>
        <w:ind w:left="33" w:right="13" w:firstLine="55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铝合金元素添加剂交货时，以箱为单位，以车为批次，采样数量</w:t>
      </w:r>
      <w:r>
        <w:rPr>
          <w:rFonts w:hint="eastAsia" w:ascii="仿宋" w:hAnsi="仿宋" w:eastAsia="仿宋" w:cs="仿宋"/>
          <w:spacing w:val="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为每批次随机两个托盘各取</w:t>
      </w:r>
      <w:r>
        <w:rPr>
          <w:rFonts w:hint="eastAsia" w:ascii="仿宋" w:hAnsi="仿宋" w:eastAsia="仿宋" w:cs="仿宋"/>
          <w:spacing w:val="-2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1</w:t>
      </w:r>
      <w:r>
        <w:rPr>
          <w:rFonts w:hint="eastAsia"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个样用于检验。</w:t>
      </w:r>
    </w:p>
    <w:p>
      <w:pPr>
        <w:spacing w:before="48" w:line="214" w:lineRule="auto"/>
        <w:ind w:left="59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4.6</w:t>
      </w:r>
      <w:r>
        <w:rPr>
          <w:rFonts w:hint="eastAsia"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检验结果的判定</w:t>
      </w:r>
    </w:p>
    <w:p>
      <w:pPr>
        <w:spacing w:before="220" w:line="287" w:lineRule="auto"/>
        <w:ind w:left="31" w:right="13" w:firstLine="56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4.6.1</w:t>
      </w:r>
      <w:r>
        <w:rPr>
          <w:rFonts w:hint="eastAsia"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所有进厂的铝及铝合金元素添加剂，必须附有产品合格证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和产品质量证明书，否则仓库要拒收。</w:t>
      </w:r>
    </w:p>
    <w:p>
      <w:pPr>
        <w:spacing w:before="218" w:line="311" w:lineRule="auto"/>
        <w:ind w:left="28" w:right="13" w:firstLine="56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4.6.2</w:t>
      </w:r>
      <w:r>
        <w:rPr>
          <w:rFonts w:hint="eastAsia"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有任一试样化学成分不合格时，产品能区分批次的判该试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样代表的批次不合格，其他批次以此验收，合格者交货。不能区分批</w:t>
      </w:r>
      <w:r>
        <w:rPr>
          <w:rFonts w:hint="eastAsia"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次的判该批不合格。</w:t>
      </w:r>
    </w:p>
    <w:p>
      <w:pPr>
        <w:spacing w:before="220" w:line="323" w:lineRule="auto"/>
        <w:ind w:left="22" w:right="13" w:firstLine="57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4.6.3</w:t>
      </w:r>
      <w:r>
        <w:rPr>
          <w:rFonts w:hint="eastAsia"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仓储管理人员要检查所有材料的包装，要求包装完好，如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果发现包装破损，要通知技术部门进行确认是否影响使用；铝及铝合</w:t>
      </w:r>
      <w:r>
        <w:rPr>
          <w:rFonts w:hint="eastAsia"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金元素添加剂不允许存在肉眼可见的潮解或粉化现象，如果有此类现</w:t>
      </w:r>
      <w:r>
        <w:rPr>
          <w:rFonts w:hint="eastAsia"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象存在，判该批不合格，做退货处理。</w:t>
      </w:r>
    </w:p>
    <w:p>
      <w:pPr>
        <w:spacing w:before="219" w:line="323" w:lineRule="auto"/>
        <w:ind w:left="23" w:right="13"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4.6.4 有任一试样的主元素含量、实收率、密度、水分检查不合</w:t>
      </w:r>
      <w:r>
        <w:rPr>
          <w:rFonts w:hint="eastAsia"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格时，应从该批产品中另取双倍数量的试样进行复检。若复检均为合</w:t>
      </w:r>
      <w:r>
        <w:rPr>
          <w:rFonts w:hint="eastAsia"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格，则该批次产品判定为合格；若复检样有一个不合格或全部不合格</w:t>
      </w:r>
      <w:r>
        <w:rPr>
          <w:rFonts w:hint="eastAsia"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时，则判定该批次产品为不合格。</w:t>
      </w:r>
    </w:p>
    <w:p>
      <w:pPr>
        <w:spacing w:before="218" w:line="214" w:lineRule="auto"/>
        <w:ind w:left="59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4.6.5</w:t>
      </w:r>
      <w:r>
        <w:rPr>
          <w:rFonts w:hint="eastAsia"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主元素含量、实收率、密度不合格品处理</w:t>
      </w:r>
    </w:p>
    <w:p>
      <w:pPr>
        <w:spacing w:before="219" w:line="311" w:lineRule="auto"/>
        <w:ind w:left="14" w:right="12" w:firstLine="579"/>
        <w:rPr>
          <w:rFonts w:hint="eastAsia" w:ascii="仿宋" w:hAnsi="仿宋" w:eastAsia="仿宋" w:cs="仿宋"/>
          <w:spacing w:val="1"/>
          <w:sz w:val="28"/>
          <w:szCs w:val="28"/>
        </w:rPr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"4.6.5.1"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仿宋" w:hAnsi="仿宋" w:eastAsia="仿宋" w:cs="仿宋"/>
          <w:spacing w:val="1"/>
          <w:sz w:val="28"/>
          <w:szCs w:val="28"/>
        </w:rPr>
        <w:t>4.6.5.1</w:t>
      </w:r>
      <w:r>
        <w:rPr>
          <w:rFonts w:hint="eastAsia" w:ascii="仿宋" w:hAnsi="仿宋" w:eastAsia="仿宋" w:cs="仿宋"/>
          <w:spacing w:val="1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主元素含量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7"/>
        <w:gridCol w:w="4971"/>
        <w:gridCol w:w="3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0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主元素含量</w:t>
            </w:r>
          </w:p>
        </w:tc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±2%以外、 ± 5% （含）以内</w:t>
            </w:r>
          </w:p>
        </w:tc>
        <w:tc>
          <w:tcPr>
            <w:tcW w:w="15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 5% 以外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70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按照实际吸收率结算</w:t>
            </w:r>
          </w:p>
        </w:tc>
        <w:tc>
          <w:tcPr>
            <w:tcW w:w="15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退货</w:t>
            </w:r>
          </w:p>
        </w:tc>
      </w:tr>
    </w:tbl>
    <w:p>
      <w:pPr>
        <w:spacing w:before="219" w:line="311" w:lineRule="auto"/>
        <w:ind w:left="14" w:right="12" w:firstLine="579"/>
        <w:rPr>
          <w:rFonts w:hint="eastAsia" w:ascii="仿宋" w:hAnsi="仿宋" w:eastAsia="仿宋" w:cs="仿宋"/>
          <w:spacing w:val="1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pacing w:val="-3"/>
          <w:sz w:val="28"/>
          <w:szCs w:val="28"/>
        </w:rPr>
        <w:instrText xml:space="preserve"> HYPERLINK "4.6.5.2" </w:instrText>
      </w:r>
      <w:r>
        <w:rPr>
          <w:rFonts w:hint="eastAsia" w:ascii="仿宋" w:hAnsi="仿宋" w:eastAsia="仿宋" w:cs="仿宋"/>
          <w:spacing w:val="-3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pacing w:val="-3"/>
          <w:sz w:val="28"/>
          <w:szCs w:val="28"/>
        </w:rPr>
        <w:t>4.6.5.2</w:t>
      </w:r>
      <w:r>
        <w:rPr>
          <w:rFonts w:hint="eastAsia" w:ascii="仿宋" w:hAnsi="仿宋" w:eastAsia="仿宋" w:cs="仿宋"/>
          <w:spacing w:val="-3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"/>
          <w:sz w:val="28"/>
          <w:szCs w:val="28"/>
        </w:rPr>
        <w:t>密度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  <w:gridCol w:w="4111"/>
        <w:gridCol w:w="4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0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密度</w:t>
            </w:r>
          </w:p>
        </w:tc>
        <w:tc>
          <w:tcPr>
            <w:tcW w:w="197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-0.2%（含）以内</w:t>
            </w:r>
          </w:p>
        </w:tc>
        <w:tc>
          <w:tcPr>
            <w:tcW w:w="19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0.2%（含）以外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0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按照实际吸收率结算</w:t>
            </w:r>
          </w:p>
        </w:tc>
        <w:tc>
          <w:tcPr>
            <w:tcW w:w="19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退货</w:t>
            </w:r>
          </w:p>
        </w:tc>
      </w:tr>
    </w:tbl>
    <w:p>
      <w:pPr>
        <w:spacing w:before="219" w:line="311" w:lineRule="auto"/>
        <w:ind w:left="14" w:right="12" w:firstLine="579"/>
        <w:rPr>
          <w:rFonts w:hint="eastAsia" w:ascii="仿宋" w:hAnsi="仿宋" w:eastAsia="仿宋" w:cs="仿宋"/>
          <w:spacing w:val="1"/>
          <w:sz w:val="28"/>
          <w:szCs w:val="28"/>
        </w:rPr>
      </w:pPr>
      <w:r>
        <w:rPr>
          <w:rFonts w:hint="eastAsia" w:ascii="仿宋" w:hAnsi="仿宋" w:eastAsia="仿宋" w:cs="仿宋"/>
          <w:spacing w:val="1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pacing w:val="1"/>
          <w:sz w:val="28"/>
          <w:szCs w:val="28"/>
        </w:rPr>
        <w:instrText xml:space="preserve"> HYPERLINK "4.6.5.3" </w:instrText>
      </w:r>
      <w:r>
        <w:rPr>
          <w:rFonts w:hint="eastAsia" w:ascii="仿宋" w:hAnsi="仿宋" w:eastAsia="仿宋" w:cs="仿宋"/>
          <w:spacing w:val="1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pacing w:val="1"/>
          <w:sz w:val="28"/>
          <w:szCs w:val="28"/>
        </w:rPr>
        <w:t>4.6.5.3</w:t>
      </w:r>
      <w:r>
        <w:rPr>
          <w:rFonts w:hint="eastAsia" w:ascii="仿宋" w:hAnsi="仿宋" w:eastAsia="仿宋" w:cs="仿宋"/>
          <w:spacing w:val="1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实收率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  <w:gridCol w:w="4111"/>
        <w:gridCol w:w="4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0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实收率</w:t>
            </w:r>
          </w:p>
        </w:tc>
        <w:tc>
          <w:tcPr>
            <w:tcW w:w="197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-5%（含）以内</w:t>
            </w:r>
          </w:p>
        </w:tc>
        <w:tc>
          <w:tcPr>
            <w:tcW w:w="19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-5%以外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60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按照实际吸收率结算</w:t>
            </w:r>
          </w:p>
        </w:tc>
        <w:tc>
          <w:tcPr>
            <w:tcW w:w="19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退货</w:t>
            </w:r>
          </w:p>
        </w:tc>
      </w:tr>
    </w:tbl>
    <w:p>
      <w:pPr>
        <w:spacing w:before="217" w:line="360" w:lineRule="auto"/>
        <w:ind w:left="31" w:right="13" w:firstLine="56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4.6.5</w:t>
      </w:r>
      <w:r>
        <w:rPr>
          <w:rFonts w:hint="eastAsia"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任一产品的外观质量不合格时，判该件产品不合格。但允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许乙方重新加工处理，如处理后仍不合格，则退货处理。</w:t>
      </w:r>
    </w:p>
    <w:p>
      <w:pPr>
        <w:spacing w:before="219" w:line="215" w:lineRule="auto"/>
        <w:ind w:left="3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4"/>
          <w:sz w:val="28"/>
          <w:szCs w:val="28"/>
        </w:rPr>
        <w:t>5</w:t>
      </w:r>
      <w:r>
        <w:rPr>
          <w:rFonts w:hint="eastAsia"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4"/>
          <w:sz w:val="28"/>
          <w:szCs w:val="28"/>
        </w:rPr>
        <w:t>标志、包装、运输、贮存及质量证明书</w:t>
      </w:r>
    </w:p>
    <w:p>
      <w:pPr>
        <w:spacing w:before="217" w:line="289" w:lineRule="auto"/>
        <w:ind w:left="31" w:right="14" w:firstLine="5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3"/>
          <w:sz w:val="28"/>
          <w:szCs w:val="28"/>
        </w:rPr>
        <w:t>5.1 铝及铝合金添加剂的标志、包装、运输、贮存应符合</w:t>
      </w:r>
      <w:r>
        <w:rPr>
          <w:rFonts w:hint="eastAsia" w:ascii="仿宋" w:hAnsi="仿宋" w:eastAsia="仿宋" w:cs="仿宋"/>
          <w:spacing w:val="-8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GB/T3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>199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之规定。</w:t>
      </w:r>
    </w:p>
    <w:p>
      <w:pPr>
        <w:spacing w:before="215" w:line="287" w:lineRule="auto"/>
        <w:ind w:left="32" w:right="13" w:firstLine="565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5.2 运输时必须用带蓬、防雨、防潮、洁净的运输工具，防止抛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摔及机械损伤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。</w:t>
      </w:r>
    </w:p>
    <w:p>
      <w:pPr>
        <w:spacing w:before="219" w:line="215" w:lineRule="auto"/>
        <w:ind w:left="59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5.3 质量证明书</w:t>
      </w:r>
    </w:p>
    <w:p>
      <w:pPr>
        <w:spacing w:before="217" w:line="360" w:lineRule="auto"/>
        <w:ind w:left="31" w:right="14" w:firstLine="566"/>
        <w:rPr>
          <w:rFonts w:hint="eastAsia" w:ascii="仿宋" w:hAnsi="仿宋" w:eastAsia="仿宋" w:cs="仿宋"/>
          <w:spacing w:val="-13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每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批产品附有产品质量证明书，注明： a）乙方名称、地址、电话、传真；b）产品名称；c）牌号、批号；d）件数和净重；e）各项分析检测结果和乙方质量检验部门印记； f）本标准标号；g）出厂日期（或包装日期）。</w:t>
      </w:r>
    </w:p>
    <w:p>
      <w:pPr>
        <w:spacing w:before="217" w:line="360" w:lineRule="auto"/>
        <w:ind w:right="14"/>
        <w:rPr>
          <w:rFonts w:hint="eastAsia" w:ascii="仿宋" w:hAnsi="仿宋" w:eastAsia="仿宋" w:cs="仿宋"/>
          <w:b/>
          <w:bCs/>
          <w:spacing w:val="-13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13"/>
          <w:sz w:val="28"/>
          <w:szCs w:val="28"/>
          <w:lang w:val="en-US" w:eastAsia="zh-CN"/>
        </w:rPr>
        <w:t>6 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19" w:firstLineChars="191"/>
        <w:textAlignment w:val="auto"/>
        <w:rPr>
          <w:rFonts w:hint="eastAsia" w:ascii="仿宋" w:hAnsi="仿宋" w:eastAsia="仿宋" w:cs="仿宋"/>
          <w:b w:val="0"/>
          <w:bCs w:val="0"/>
          <w:spacing w:val="-4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4"/>
          <w:sz w:val="28"/>
          <w:szCs w:val="28"/>
          <w:lang w:val="en-US" w:eastAsia="zh-CN"/>
        </w:rPr>
        <w:t>6.1 本技术规格书一式两份，甲乙双方各执一份。</w:t>
      </w:r>
      <w:r>
        <w:rPr>
          <w:rFonts w:hint="eastAsia" w:ascii="仿宋" w:hAnsi="仿宋" w:eastAsia="仿宋" w:cs="仿宋"/>
          <w:sz w:val="28"/>
          <w:szCs w:val="28"/>
        </w:rPr>
        <w:t>自双方单位签字之日起生效。若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乙方</w:t>
      </w:r>
      <w:r>
        <w:rPr>
          <w:rFonts w:hint="eastAsia" w:ascii="仿宋" w:hAnsi="仿宋" w:eastAsia="仿宋" w:cs="仿宋"/>
          <w:sz w:val="28"/>
          <w:szCs w:val="28"/>
        </w:rPr>
        <w:t>未中标，则本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规格书</w:t>
      </w:r>
      <w:r>
        <w:rPr>
          <w:rFonts w:hint="eastAsia" w:ascii="仿宋" w:hAnsi="仿宋" w:eastAsia="仿宋" w:cs="仿宋"/>
          <w:sz w:val="28"/>
          <w:szCs w:val="28"/>
        </w:rPr>
        <w:t>自动失效，甲乙双方互不承担任何责任。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19" w:firstLineChars="191"/>
        <w:textAlignment w:val="auto"/>
        <w:rPr>
          <w:rFonts w:hint="eastAsia" w:ascii="仿宋" w:hAnsi="仿宋" w:eastAsia="仿宋" w:cs="仿宋"/>
          <w:b w:val="0"/>
          <w:bCs w:val="0"/>
          <w:spacing w:val="-4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4"/>
          <w:sz w:val="28"/>
          <w:szCs w:val="28"/>
          <w:lang w:val="en-US" w:eastAsia="zh-CN"/>
        </w:rPr>
        <w:t>6.2 本技术规格书有效期一年。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19" w:firstLineChars="191"/>
        <w:textAlignment w:val="auto"/>
        <w:rPr>
          <w:rFonts w:hint="eastAsia" w:ascii="仿宋" w:hAnsi="仿宋" w:eastAsia="仿宋" w:cs="仿宋"/>
          <w:b w:val="0"/>
          <w:bCs w:val="0"/>
          <w:spacing w:val="-4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19" w:firstLineChars="191"/>
        <w:textAlignment w:val="auto"/>
        <w:rPr>
          <w:rFonts w:hint="eastAsia" w:ascii="仿宋" w:hAnsi="仿宋" w:eastAsia="仿宋" w:cs="仿宋"/>
          <w:b w:val="0"/>
          <w:bCs w:val="0"/>
          <w:spacing w:val="-4"/>
          <w:sz w:val="28"/>
          <w:szCs w:val="28"/>
          <w:lang w:val="en-US" w:eastAsia="zh-CN"/>
        </w:rPr>
      </w:pPr>
    </w:p>
    <w:p>
      <w:pPr>
        <w:spacing w:line="91" w:lineRule="auto"/>
        <w:rPr>
          <w:rFonts w:hint="eastAsia" w:ascii="仿宋" w:hAnsi="仿宋" w:eastAsia="仿宋" w:cs="仿宋"/>
          <w:sz w:val="2"/>
        </w:rPr>
      </w:pPr>
    </w:p>
    <w:tbl>
      <w:tblPr>
        <w:tblStyle w:val="5"/>
        <w:tblW w:w="1017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8"/>
        <w:gridCol w:w="52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4908" w:type="dxa"/>
            <w:vAlign w:val="top"/>
          </w:tcPr>
          <w:p>
            <w:pPr>
              <w:pStyle w:val="6"/>
              <w:spacing w:before="213" w:line="223" w:lineRule="auto"/>
              <w:ind w:left="164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8"/>
                <w:sz w:val="28"/>
                <w:szCs w:val="28"/>
              </w:rPr>
              <w:t>甲方</w:t>
            </w:r>
          </w:p>
        </w:tc>
        <w:tc>
          <w:tcPr>
            <w:tcW w:w="5270" w:type="dxa"/>
            <w:vAlign w:val="top"/>
          </w:tcPr>
          <w:p>
            <w:pPr>
              <w:pStyle w:val="6"/>
              <w:spacing w:before="213" w:line="225" w:lineRule="auto"/>
              <w:ind w:left="144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9"/>
                <w:sz w:val="28"/>
                <w:szCs w:val="28"/>
              </w:rPr>
              <w:t>乙方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  <w:jc w:val="center"/>
        </w:trPr>
        <w:tc>
          <w:tcPr>
            <w:tcW w:w="4908" w:type="dxa"/>
            <w:vAlign w:val="top"/>
          </w:tcPr>
          <w:p>
            <w:pPr>
              <w:pStyle w:val="6"/>
              <w:spacing w:before="172" w:line="222" w:lineRule="auto"/>
              <w:ind w:left="132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单位名称（章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）：</w:t>
            </w:r>
          </w:p>
          <w:p>
            <w:pPr>
              <w:pStyle w:val="6"/>
              <w:spacing w:before="287" w:line="221" w:lineRule="auto"/>
              <w:ind w:left="128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31"/>
                <w:szCs w:val="31"/>
                <w:lang w:eastAsia="zh-CN"/>
              </w:rPr>
              <w:t>东兴铝业嘉峪关分公司</w:t>
            </w:r>
          </w:p>
        </w:tc>
        <w:tc>
          <w:tcPr>
            <w:tcW w:w="5270" w:type="dxa"/>
            <w:vAlign w:val="top"/>
          </w:tcPr>
          <w:p>
            <w:pPr>
              <w:pStyle w:val="6"/>
              <w:spacing w:before="172" w:line="222" w:lineRule="auto"/>
              <w:ind w:left="129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单位名称（章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4908" w:type="dxa"/>
            <w:vAlign w:val="top"/>
          </w:tcPr>
          <w:p>
            <w:pPr>
              <w:pStyle w:val="6"/>
              <w:spacing w:before="248" w:line="222" w:lineRule="auto"/>
              <w:ind w:left="132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cs="仿宋"/>
                <w:spacing w:val="-3"/>
                <w:sz w:val="28"/>
                <w:szCs w:val="28"/>
                <w:lang w:eastAsia="zh-CN"/>
              </w:rPr>
              <w:t>技术代表人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：</w:t>
            </w:r>
          </w:p>
        </w:tc>
        <w:tc>
          <w:tcPr>
            <w:tcW w:w="5270" w:type="dxa"/>
            <w:vAlign w:val="top"/>
          </w:tcPr>
          <w:p>
            <w:pPr>
              <w:pStyle w:val="6"/>
              <w:spacing w:before="248" w:line="222" w:lineRule="auto"/>
              <w:ind w:left="129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cs="仿宋"/>
                <w:spacing w:val="-3"/>
                <w:sz w:val="28"/>
                <w:szCs w:val="28"/>
                <w:lang w:eastAsia="zh-CN"/>
              </w:rPr>
              <w:t>技术代表人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4908" w:type="dxa"/>
            <w:vAlign w:val="top"/>
          </w:tcPr>
          <w:p>
            <w:pPr>
              <w:pStyle w:val="6"/>
              <w:spacing w:before="261" w:line="224" w:lineRule="auto"/>
              <w:ind w:left="123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联系电话：0937-67122080</w:t>
            </w:r>
          </w:p>
        </w:tc>
        <w:tc>
          <w:tcPr>
            <w:tcW w:w="5270" w:type="dxa"/>
            <w:vAlign w:val="top"/>
          </w:tcPr>
          <w:p>
            <w:pPr>
              <w:pStyle w:val="6"/>
              <w:spacing w:before="261" w:line="224" w:lineRule="auto"/>
              <w:ind w:left="121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联系电话：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4908" w:type="dxa"/>
            <w:vAlign w:val="top"/>
          </w:tcPr>
          <w:p>
            <w:pPr>
              <w:pStyle w:val="6"/>
              <w:spacing w:before="241" w:line="223" w:lineRule="auto"/>
              <w:ind w:right="28"/>
              <w:jc w:val="right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4"/>
                <w:sz w:val="28"/>
                <w:szCs w:val="28"/>
              </w:rPr>
              <w:t>日期：      年         月</w:t>
            </w:r>
            <w:r>
              <w:rPr>
                <w:rFonts w:hint="eastAsia" w:ascii="仿宋" w:hAnsi="仿宋" w:eastAsia="仿宋" w:cs="仿宋"/>
                <w:spacing w:val="10"/>
                <w:sz w:val="28"/>
                <w:szCs w:val="28"/>
              </w:rPr>
              <w:t xml:space="preserve">        </w:t>
            </w:r>
            <w:r>
              <w:rPr>
                <w:rFonts w:hint="eastAsia" w:ascii="仿宋" w:hAnsi="仿宋" w:eastAsia="仿宋" w:cs="仿宋"/>
                <w:spacing w:val="-14"/>
                <w:sz w:val="28"/>
                <w:szCs w:val="28"/>
              </w:rPr>
              <w:t>日</w:t>
            </w:r>
          </w:p>
        </w:tc>
        <w:tc>
          <w:tcPr>
            <w:tcW w:w="5270" w:type="dxa"/>
            <w:vAlign w:val="top"/>
          </w:tcPr>
          <w:p>
            <w:pPr>
              <w:pStyle w:val="6"/>
              <w:spacing w:before="241" w:line="223" w:lineRule="auto"/>
              <w:ind w:left="183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3"/>
                <w:sz w:val="28"/>
                <w:szCs w:val="28"/>
              </w:rPr>
              <w:t>日期：</w:t>
            </w:r>
            <w:r>
              <w:rPr>
                <w:rFonts w:hint="eastAsia" w:ascii="仿宋" w:hAnsi="仿宋" w:eastAsia="仿宋" w:cs="仿宋"/>
                <w:spacing w:val="4"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2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4"/>
                <w:sz w:val="28"/>
                <w:szCs w:val="28"/>
              </w:rPr>
              <w:t xml:space="preserve">        </w:t>
            </w:r>
            <w:r>
              <w:rPr>
                <w:rFonts w:hint="eastAsia" w:ascii="仿宋" w:hAnsi="仿宋" w:eastAsia="仿宋" w:cs="仿宋"/>
                <w:spacing w:val="-23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10"/>
                <w:sz w:val="28"/>
                <w:szCs w:val="28"/>
              </w:rPr>
              <w:t xml:space="preserve">        </w:t>
            </w:r>
            <w:r>
              <w:rPr>
                <w:rFonts w:hint="eastAsia" w:ascii="仿宋" w:hAnsi="仿宋" w:eastAsia="仿宋" w:cs="仿宋"/>
                <w:spacing w:val="-23"/>
                <w:sz w:val="28"/>
                <w:szCs w:val="28"/>
              </w:rPr>
              <w:t>日</w:t>
            </w:r>
          </w:p>
        </w:tc>
      </w:tr>
    </w:tbl>
    <w:p>
      <w:pPr>
        <w:pStyle w:val="2"/>
        <w:rPr>
          <w:rFonts w:hint="eastAsia" w:ascii="仿宋" w:hAnsi="仿宋" w:eastAsia="仿宋" w:cs="仿宋"/>
        </w:rPr>
      </w:pPr>
    </w:p>
    <w:sectPr>
      <w:pgSz w:w="11906" w:h="16839"/>
      <w:pgMar w:top="1431" w:right="861" w:bottom="0" w:left="86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101C5C7A"/>
    <w:rsid w:val="18DD704B"/>
    <w:rsid w:val="29361D11"/>
    <w:rsid w:val="2D12039F"/>
    <w:rsid w:val="3FD83CE2"/>
    <w:rsid w:val="59BC65AD"/>
    <w:rsid w:val="60224AA7"/>
    <w:rsid w:val="77960E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2443</Words>
  <Characters>2864</Characters>
  <TotalTime>2</TotalTime>
  <ScaleCrop>false</ScaleCrop>
  <LinksUpToDate>false</LinksUpToDate>
  <CharactersWithSpaces>3038</CharactersWithSpaces>
  <Application>WPS Office_11.8.2.11813_F1E327BC-269C-435d-A152-05C5408002CA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2025-02-05T11:58:00Z</dcterms:created>
  <dc:creator>崔云龙</dc:creator>
  <cp:lastModifiedBy>任红前</cp:lastModifiedBy>
  <dcterms:modified xsi:type="dcterms:W3CDTF">2025-12-08T10:12:57Z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2025-05-12T09:57:32Z</vt:filetime>
  </property>
  <property fmtid="{D5CDD505-2E9C-101B-9397-08002B2CF9AE}" pid="4" name="KSOTemplateDocerSaveRecord">
    <vt:lpwstr>eyJoZGlkIjoiOWNhMzdhYzczZmNmMjUxYzhlNzA3ZWQ5NWYyMWUwODYiLCJ1c2VySWQiOiIzNDU0NjQ3NDgifQ==</vt:lpwstr>
  </property>
  <property fmtid="{D5CDD505-2E9C-101B-9397-08002B2CF9AE}" pid="5" name="KSOProductBuildVer">
    <vt:lpwstr>2052-11.8.2.11813</vt:lpwstr>
  </property>
  <property fmtid="{D5CDD505-2E9C-101B-9397-08002B2CF9AE}" pid="6" name="ICV">
    <vt:lpwstr>25712504B1F8465E96EBED164E0AC281_12</vt:lpwstr>
  </property>
</Properties>
</file>