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240" w:lineRule="auto"/>
        <w:ind w:firstLine="643" w:firstLineChars="200"/>
        <w:jc w:val="center"/>
        <w:textAlignment w:val="auto"/>
        <w:rPr>
          <w:rFonts w:hint="eastAsia" w:ascii="宋体" w:hAnsi="宋体"/>
          <w:b/>
          <w:bCs/>
          <w:color w:val="auto"/>
          <w:sz w:val="32"/>
          <w:szCs w:val="32"/>
          <w:highlight w:val="none"/>
          <w:lang w:val="en-US" w:eastAsia="zh-CN"/>
        </w:rPr>
      </w:pPr>
      <w:r>
        <w:rPr>
          <w:rFonts w:hint="eastAsia" w:ascii="宋体" w:hAnsi="宋体"/>
          <w:b/>
          <w:bCs/>
          <w:color w:val="auto"/>
          <w:sz w:val="32"/>
          <w:szCs w:val="32"/>
          <w:highlight w:val="none"/>
          <w:lang w:val="en-US" w:eastAsia="zh-CN"/>
        </w:rPr>
        <w:t>润源公司榆中分公司2022年</w:t>
      </w:r>
    </w:p>
    <w:p>
      <w:pPr>
        <w:keepNext w:val="0"/>
        <w:keepLines w:val="0"/>
        <w:pageBreakBefore w:val="0"/>
        <w:widowControl w:val="0"/>
        <w:kinsoku/>
        <w:wordWrap/>
        <w:overflowPunct/>
        <w:topLinePunct w:val="0"/>
        <w:autoSpaceDE/>
        <w:autoSpaceDN/>
        <w:bidi w:val="0"/>
        <w:spacing w:line="240" w:lineRule="auto"/>
        <w:ind w:firstLine="643" w:firstLineChars="200"/>
        <w:jc w:val="center"/>
        <w:textAlignment w:val="auto"/>
        <w:rPr>
          <w:rFonts w:hint="eastAsia" w:ascii="宋体" w:hAnsi="宋体"/>
          <w:b/>
          <w:bCs/>
          <w:color w:val="auto"/>
          <w:sz w:val="32"/>
          <w:szCs w:val="32"/>
          <w:highlight w:val="none"/>
          <w:lang w:val="en-US" w:eastAsia="zh-CN"/>
        </w:rPr>
      </w:pPr>
      <w:r>
        <w:rPr>
          <w:rFonts w:hint="eastAsia" w:ascii="宋体" w:hAnsi="宋体"/>
          <w:b/>
          <w:bCs/>
          <w:color w:val="auto"/>
          <w:sz w:val="32"/>
          <w:szCs w:val="32"/>
          <w:highlight w:val="none"/>
          <w:lang w:val="en-US" w:eastAsia="zh-CN"/>
        </w:rPr>
        <w:t>炼钢渣跨保产及钢铁料回供业务外委合同技术协议</w:t>
      </w:r>
    </w:p>
    <w:p>
      <w:pPr>
        <w:jc w:val="center"/>
        <w:rPr>
          <w:rFonts w:ascii="仿宋" w:hAnsi="仿宋" w:eastAsia="仿宋" w:cs="仿宋_GB2312"/>
          <w:color w:val="000000"/>
          <w:sz w:val="32"/>
          <w:szCs w:val="32"/>
        </w:rPr>
      </w:pPr>
    </w:p>
    <w:p>
      <w:pPr>
        <w:jc w:val="center"/>
        <w:rPr>
          <w:rFonts w:ascii="仿宋" w:hAnsi="仿宋" w:eastAsia="仿宋" w:cs="仿宋_GB2312"/>
          <w:color w:val="000000"/>
          <w:sz w:val="32"/>
          <w:szCs w:val="32"/>
        </w:rPr>
      </w:pPr>
    </w:p>
    <w:p>
      <w:pPr>
        <w:jc w:val="center"/>
        <w:rPr>
          <w:rFonts w:ascii="仿宋" w:hAnsi="仿宋" w:eastAsia="仿宋" w:cs="仿宋_GB2312"/>
          <w:color w:val="000000"/>
          <w:sz w:val="32"/>
          <w:szCs w:val="32"/>
        </w:rPr>
      </w:pPr>
    </w:p>
    <w:p>
      <w:pPr>
        <w:keepNext w:val="0"/>
        <w:keepLines w:val="0"/>
        <w:pageBreakBefore w:val="0"/>
        <w:widowControl w:val="0"/>
        <w:kinsoku/>
        <w:wordWrap/>
        <w:overflowPunct/>
        <w:topLinePunct w:val="0"/>
        <w:autoSpaceDE/>
        <w:autoSpaceDN/>
        <w:bidi w:val="0"/>
        <w:spacing w:line="240" w:lineRule="auto"/>
        <w:ind w:firstLine="560" w:firstLineChars="200"/>
        <w:textAlignment w:val="auto"/>
        <w:rPr>
          <w:rFonts w:hint="default" w:ascii="宋体" w:hAnsi="宋体"/>
          <w:color w:val="auto"/>
          <w:sz w:val="28"/>
          <w:szCs w:val="28"/>
          <w:highlight w:val="none"/>
          <w:lang w:val="en-US"/>
        </w:rPr>
      </w:pPr>
      <w:r>
        <w:rPr>
          <w:rFonts w:hint="eastAsia" w:ascii="宋体" w:hAnsi="宋体"/>
          <w:color w:val="auto"/>
          <w:sz w:val="28"/>
          <w:szCs w:val="28"/>
          <w:highlight w:val="none"/>
        </w:rPr>
        <w:t xml:space="preserve">名称: </w:t>
      </w:r>
      <w:r>
        <w:rPr>
          <w:rFonts w:hint="eastAsia" w:ascii="宋体" w:hAnsi="宋体"/>
          <w:color w:val="auto"/>
          <w:sz w:val="28"/>
          <w:szCs w:val="28"/>
          <w:highlight w:val="none"/>
          <w:lang w:eastAsia="zh-CN"/>
        </w:rPr>
        <w:t>润源公司榆中分公司</w:t>
      </w:r>
      <w:r>
        <w:rPr>
          <w:rFonts w:hint="eastAsia" w:ascii="宋体" w:hAnsi="宋体"/>
          <w:color w:val="auto"/>
          <w:sz w:val="28"/>
          <w:szCs w:val="28"/>
          <w:highlight w:val="none"/>
          <w:lang w:val="en-US" w:eastAsia="zh-CN"/>
        </w:rPr>
        <w:t>2022年</w:t>
      </w:r>
      <w:r>
        <w:rPr>
          <w:rFonts w:hint="eastAsia" w:ascii="宋体" w:hAnsi="宋体"/>
          <w:color w:val="auto"/>
          <w:sz w:val="28"/>
          <w:szCs w:val="28"/>
          <w:highlight w:val="none"/>
          <w:lang w:eastAsia="zh-CN"/>
        </w:rPr>
        <w:t>炼钢渣跨保产及钢铁料回供业务外委</w:t>
      </w:r>
      <w:r>
        <w:rPr>
          <w:rFonts w:hint="eastAsia" w:ascii="宋体" w:hAnsi="宋体"/>
          <w:color w:val="auto"/>
          <w:sz w:val="28"/>
          <w:szCs w:val="28"/>
          <w:highlight w:val="none"/>
          <w:lang w:val="en-US" w:eastAsia="zh-CN"/>
        </w:rPr>
        <w:t>业务</w:t>
      </w:r>
    </w:p>
    <w:p>
      <w:pPr>
        <w:keepNext w:val="0"/>
        <w:keepLines w:val="0"/>
        <w:pageBreakBefore w:val="0"/>
        <w:widowControl w:val="0"/>
        <w:kinsoku/>
        <w:wordWrap/>
        <w:overflowPunct/>
        <w:topLinePunct w:val="0"/>
        <w:autoSpaceDE/>
        <w:autoSpaceDN/>
        <w:bidi w:val="0"/>
        <w:spacing w:line="240" w:lineRule="auto"/>
        <w:ind w:firstLine="560" w:firstLineChars="200"/>
        <w:textAlignment w:val="auto"/>
        <w:rPr>
          <w:rFonts w:hint="eastAsia" w:ascii="宋体" w:hAnsi="宋体"/>
          <w:color w:val="auto"/>
          <w:sz w:val="28"/>
          <w:szCs w:val="28"/>
          <w:highlight w:val="none"/>
        </w:rPr>
      </w:pPr>
    </w:p>
    <w:p>
      <w:pPr>
        <w:keepNext w:val="0"/>
        <w:keepLines w:val="0"/>
        <w:pageBreakBefore w:val="0"/>
        <w:widowControl w:val="0"/>
        <w:kinsoku/>
        <w:wordWrap/>
        <w:overflowPunct/>
        <w:topLinePunct w:val="0"/>
        <w:autoSpaceDE/>
        <w:autoSpaceDN/>
        <w:bidi w:val="0"/>
        <w:spacing w:line="240" w:lineRule="auto"/>
        <w:ind w:firstLine="560" w:firstLineChars="200"/>
        <w:textAlignment w:val="auto"/>
        <w:rPr>
          <w:rFonts w:hint="eastAsia" w:ascii="宋体" w:hAnsi="宋体"/>
          <w:color w:val="auto"/>
          <w:sz w:val="28"/>
          <w:szCs w:val="28"/>
          <w:highlight w:val="none"/>
        </w:rPr>
      </w:pPr>
    </w:p>
    <w:p>
      <w:pPr>
        <w:keepNext w:val="0"/>
        <w:keepLines w:val="0"/>
        <w:pageBreakBefore w:val="0"/>
        <w:widowControl w:val="0"/>
        <w:kinsoku/>
        <w:wordWrap/>
        <w:overflowPunct/>
        <w:topLinePunct w:val="0"/>
        <w:autoSpaceDE/>
        <w:autoSpaceDN/>
        <w:bidi w:val="0"/>
        <w:spacing w:line="240" w:lineRule="auto"/>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rPr>
        <w:t>甲方:甘肃润源环境资源科技有限公司榆中分公司</w:t>
      </w:r>
    </w:p>
    <w:p>
      <w:pPr>
        <w:keepNext w:val="0"/>
        <w:keepLines w:val="0"/>
        <w:pageBreakBefore w:val="0"/>
        <w:widowControl w:val="0"/>
        <w:kinsoku/>
        <w:wordWrap/>
        <w:overflowPunct/>
        <w:topLinePunct w:val="0"/>
        <w:autoSpaceDE/>
        <w:autoSpaceDN/>
        <w:bidi w:val="0"/>
        <w:spacing w:line="240" w:lineRule="auto"/>
        <w:ind w:firstLine="560" w:firstLineChars="200"/>
        <w:textAlignment w:val="auto"/>
        <w:rPr>
          <w:rFonts w:hint="eastAsia" w:ascii="宋体" w:hAnsi="宋体"/>
          <w:color w:val="auto"/>
          <w:sz w:val="28"/>
          <w:szCs w:val="28"/>
          <w:highlight w:val="none"/>
        </w:rPr>
      </w:pPr>
    </w:p>
    <w:p>
      <w:pPr>
        <w:keepNext w:val="0"/>
        <w:keepLines w:val="0"/>
        <w:pageBreakBefore w:val="0"/>
        <w:widowControl w:val="0"/>
        <w:kinsoku/>
        <w:wordWrap/>
        <w:overflowPunct/>
        <w:topLinePunct w:val="0"/>
        <w:autoSpaceDE/>
        <w:autoSpaceDN/>
        <w:bidi w:val="0"/>
        <w:spacing w:line="240" w:lineRule="auto"/>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rPr>
        <w:t>乙方:</w:t>
      </w:r>
    </w:p>
    <w:p>
      <w:pPr>
        <w:keepNext w:val="0"/>
        <w:keepLines w:val="0"/>
        <w:pageBreakBefore w:val="0"/>
        <w:widowControl w:val="0"/>
        <w:kinsoku/>
        <w:wordWrap/>
        <w:overflowPunct/>
        <w:topLinePunct w:val="0"/>
        <w:autoSpaceDE/>
        <w:autoSpaceDN/>
        <w:bidi w:val="0"/>
        <w:spacing w:line="240" w:lineRule="auto"/>
        <w:ind w:firstLine="560" w:firstLineChars="200"/>
        <w:textAlignment w:val="auto"/>
        <w:rPr>
          <w:rFonts w:hint="eastAsia" w:ascii="宋体" w:hAnsi="宋体"/>
          <w:color w:val="auto"/>
          <w:sz w:val="28"/>
          <w:szCs w:val="28"/>
          <w:highlight w:val="none"/>
        </w:rPr>
      </w:pPr>
    </w:p>
    <w:p>
      <w:pPr>
        <w:keepNext w:val="0"/>
        <w:keepLines w:val="0"/>
        <w:pageBreakBefore w:val="0"/>
        <w:widowControl w:val="0"/>
        <w:kinsoku/>
        <w:wordWrap/>
        <w:overflowPunct/>
        <w:topLinePunct w:val="0"/>
        <w:autoSpaceDE/>
        <w:autoSpaceDN/>
        <w:bidi w:val="0"/>
        <w:spacing w:line="240" w:lineRule="auto"/>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rPr>
        <w:t>签订地点:甘肃省</w:t>
      </w:r>
      <w:r>
        <w:rPr>
          <w:rFonts w:hint="eastAsia" w:ascii="宋体" w:hAnsi="宋体"/>
          <w:color w:val="auto"/>
          <w:sz w:val="28"/>
          <w:szCs w:val="28"/>
          <w:highlight w:val="none"/>
          <w:lang w:val="en-US" w:eastAsia="zh-CN"/>
        </w:rPr>
        <w:t>兰州</w:t>
      </w:r>
      <w:r>
        <w:rPr>
          <w:rFonts w:hint="eastAsia" w:ascii="宋体" w:hAnsi="宋体"/>
          <w:color w:val="auto"/>
          <w:sz w:val="28"/>
          <w:szCs w:val="28"/>
          <w:highlight w:val="none"/>
        </w:rPr>
        <w:t>市</w:t>
      </w:r>
    </w:p>
    <w:p>
      <w:pPr>
        <w:ind w:firstLine="840" w:firstLineChars="300"/>
        <w:rPr>
          <w:rFonts w:ascii="仿宋_GB2312" w:hAnsi="仿宋_GB2312" w:eastAsia="仿宋_GB2312" w:cs="仿宋_GB2312"/>
          <w:color w:val="000000"/>
        </w:rPr>
      </w:pPr>
    </w:p>
    <w:p>
      <w:pPr>
        <w:ind w:firstLine="960" w:firstLineChars="300"/>
        <w:rPr>
          <w:rFonts w:ascii="仿宋_GB2312" w:hAnsi="仿宋_GB2312" w:eastAsia="仿宋_GB2312" w:cs="仿宋_GB2312"/>
          <w:color w:val="000000"/>
          <w:sz w:val="32"/>
        </w:rPr>
      </w:pPr>
    </w:p>
    <w:p>
      <w:pPr>
        <w:ind w:firstLine="960" w:firstLineChars="300"/>
        <w:rPr>
          <w:rFonts w:ascii="仿宋_GB2312" w:hAnsi="仿宋_GB2312" w:eastAsia="仿宋_GB2312" w:cs="仿宋_GB2312"/>
          <w:color w:val="000000"/>
          <w:sz w:val="32"/>
        </w:rPr>
      </w:pPr>
    </w:p>
    <w:p>
      <w:pPr>
        <w:ind w:firstLine="960" w:firstLineChars="300"/>
        <w:rPr>
          <w:rFonts w:ascii="仿宋_GB2312" w:hAnsi="仿宋_GB2312" w:eastAsia="仿宋_GB2312" w:cs="仿宋_GB2312"/>
          <w:color w:val="000000"/>
          <w:sz w:val="32"/>
        </w:rPr>
      </w:pPr>
    </w:p>
    <w:p>
      <w:pPr>
        <w:ind w:firstLine="960" w:firstLineChars="300"/>
        <w:rPr>
          <w:rFonts w:ascii="仿宋_GB2312" w:hAnsi="仿宋_GB2312" w:eastAsia="仿宋_GB2312" w:cs="仿宋_GB2312"/>
          <w:color w:val="000000"/>
          <w:sz w:val="32"/>
        </w:rPr>
      </w:pPr>
    </w:p>
    <w:p>
      <w:pPr>
        <w:ind w:firstLine="960" w:firstLineChars="300"/>
        <w:rPr>
          <w:rFonts w:ascii="仿宋_GB2312" w:hAnsi="仿宋_GB2312" w:eastAsia="仿宋_GB2312" w:cs="仿宋_GB2312"/>
          <w:color w:val="000000"/>
          <w:sz w:val="32"/>
        </w:rPr>
      </w:pPr>
    </w:p>
    <w:p>
      <w:pPr>
        <w:ind w:firstLine="960" w:firstLineChars="300"/>
        <w:rPr>
          <w:rFonts w:ascii="仿宋_GB2312" w:hAnsi="仿宋_GB2312" w:eastAsia="仿宋_GB2312" w:cs="仿宋_GB2312"/>
          <w:color w:val="000000"/>
          <w:sz w:val="32"/>
        </w:rPr>
      </w:pPr>
    </w:p>
    <w:p>
      <w:pPr>
        <w:ind w:firstLine="960" w:firstLineChars="300"/>
        <w:rPr>
          <w:rFonts w:ascii="仿宋_GB2312" w:hAnsi="仿宋_GB2312" w:eastAsia="仿宋_GB2312" w:cs="仿宋_GB2312"/>
          <w:color w:val="000000"/>
          <w:sz w:val="32"/>
        </w:rPr>
      </w:pPr>
    </w:p>
    <w:p>
      <w:pPr>
        <w:keepNext w:val="0"/>
        <w:keepLines w:val="0"/>
        <w:pageBreakBefore w:val="0"/>
        <w:widowControl w:val="0"/>
        <w:kinsoku/>
        <w:wordWrap/>
        <w:overflowPunct/>
        <w:topLinePunct w:val="0"/>
        <w:autoSpaceDE/>
        <w:autoSpaceDN/>
        <w:bidi w:val="0"/>
        <w:adjustRightInd w:val="0"/>
        <w:spacing w:line="360" w:lineRule="auto"/>
        <w:ind w:firstLine="422" w:firstLineChars="200"/>
        <w:textAlignment w:val="auto"/>
        <w:rPr>
          <w:rFonts w:ascii="仿宋" w:hAnsi="仿宋" w:eastAsia="仿宋" w:cs="仿宋_GB2312"/>
          <w:b/>
          <w:bCs/>
          <w:color w:val="000000"/>
        </w:rPr>
      </w:pPr>
      <w:r>
        <w:rPr>
          <w:rFonts w:hint="eastAsia" w:ascii="宋体" w:hAnsi="宋体" w:eastAsia="宋体" w:cs="Times New Roman"/>
          <w:b/>
          <w:bCs/>
          <w:color w:val="auto"/>
          <w:kern w:val="2"/>
          <w:sz w:val="21"/>
          <w:szCs w:val="21"/>
          <w:highlight w:val="none"/>
          <w:lang w:val="en-US" w:eastAsia="zh-CN" w:bidi="ar-SA"/>
        </w:rPr>
        <w:t>一、招标主要内容及合同承包范围</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 xml:space="preserve">1.炼钢渣跨保产及渣盘注余加工回供 </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1.1.乙方负责甲方炼钢分厂转炉炉下渣车操作、焖渣坑处理、积渣或残钢清理，炉后及焖坑区域积水处理，挡渣墙两侧墙皮粘渣、挡渣板粘渣清理，3#、4#炉后区域地面卫生(吹氩站钢包车南北安全栏杆以内0m地面卫生)，渣罐车、钢包车积渣清理，清理范围包括整条炉下轨道（转炉炉下所属卫生区域为9.1m平台南北两侧立柱为界以内对应的0m地面卫生），（转炉炉下车辆积渣清理周期为每班至少3次）</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乙方负责甲方炼钢分厂钢包注余渣盘残钢清理、砌筑（使用加气块）、垫渣（保证渣盘垫干渣厚度为15CM-20CM），渣盘使用周期不少于90天/个；渣罐在每次上线前进行残钢清理、喷涂（喷涂隔离剂乙方提供）、垫干渣；钢包注余渣盘及转炉渣罐翻扣、周转调配，垫渣料为转炉炉渣等比重较大的干燥物质；转炉钢包车渣盘翻扣、周转调配、下线、上线、砌筑、垫料。具体界定为：渣盘、渣罐、转炉渣盘运送到渣跨后由乙方负责吊运、翻扣、喷涂、砌筑、装车,乙方负责提供加气块、罐内垫料及喷涂隔离剂等原料。</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1.3.乙方负责甲方炼钢中包注余渣盘摆放区、LF炉下积渣的清理，清理范围包括LF炉下车辆（钢包车）积渣、轨道南北两侧积渣、挡火墙墙皮粘渣、挡火墙上防护钢板粘渣、残钢、轨道道心内积渣，确保炉下各处积渣、残钢不影响炉下车辆运行（清理周期为每周不少于2次）；榆钢炼钢年修时，乙方负责应急渣池的准备及后续清理。</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1.4.乙方负责甲方炼钢分厂炉下渣铁、洒落废钢、渣盘注余、部分铸铁、各种渣钢和辅助炼钢对钢包沿组织收集，按照甲方指定地点进行倒运及加工处理，没有得到甲方同意乙方不得外发。</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1.5.乙方负责甲方炼钢分厂责任区域范围内卫生清理和定置摆放，保持卫生清洁；爱护各种设施、设备，出现损坏由乙方负责赔偿。</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1.6.乙方在甲方炼钢分厂发生突发性生产事故或检修时，必须依据甲方对于人、机、物、料的要求配合进行事故抢修和恢复及现场清理。</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1.7.乙方负责甲方炼钢分厂渣跨天车（74#）及公辅设备设施（渣跨200t过跨车以南区域，含热焖坑供水设备设施）操作、清理工作。</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1.8.乙方负责甲方炼钢分厂连铸事故渣盘注余的加工处理，加工后的废钢全部回供炼钢分厂；加工后的废渣全部磁选处理，并定期对废钢池渣土进行清理。</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1.9.乙方切割、加工废钢铁、积渣或卫生清理所需的工器具及材料备件（高压胶管、割枪、割嘴、氧管，其他工器具及员工防护用品）由乙方自行解决，能源介质（氧气）由甲方提供。</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1.10.乙方必须按甲方指定的地点进行原料加工作业，如特殊情况需要变更时，需与甲方进行协商，不得私自进行处理。</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1.11乙方承包使用一期渣跨天车，配备相应天车工、指车工，负责与具备天车特种设备维保资质单位签订维保合同，入厂后开始使用前和合同结束前分别对一期渣跨天车按照甲方要求进行一次全面维保，同时日常对天车本体、电磁吸盘进行维保、检修（含检修用材料备件），天车不得带病作业，配合榆钢公司进行年度校检（含校检费用）。</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1.12乙方负责中转场物料堆存转运及装车，负责提供司机（1人）、车辆油料、维修保养（含轮胎、照明、空调、倒车雷达等易损件更换）、车辆保险，油铲由甲方提供。</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1.13乙方负责甲方焖坑区域风机排气系统日常操作、清理及岗位检查。</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1.14榆钢复产后组织所有岗位人员入厂，于2021年12月5日-12月15日完成人员安全教育培训及考试，2021年12月18日前组织对现场全面清理整顿及设备试车，2021年12月18日所有人员、车辆、机具均具备炼钢保产满负荷生产条件。</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 钢渣加工及钢铁料回供           ；</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乙方负责榆钢炼钢分厂产生的转炉钢渣、炉下渣、注余渣等全部钢渣的热焖、破碎、加工、磁选、回供运输等所有业务。具体范围包括炼钢渣罐、渣盘翻渣作业，渣跨热焖作业，74#、75#天车操作作业，粒铁回收线生产作业，加工后废钢及钢铁料回供运输作业，尾渣出厂运输作业等。</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2.1.乙方负责榆钢炼钢分厂产生的转炉钢渣、炉下渣、注余废渣等全部钢渣的热焖处理作业，具体包括上述钢渣全部按照热焖工艺要求铺垫、翻渣、打水、热焖、出渣等作业，每班最少预留1个半空坑正常运转，保证钢渣全部在渣跨热焖处理。</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2.2.乙方负责甲方粒铁线的正常生产运行。乙方负责将热焖后的钢渣全部从焖坑倒运至指定钢渣原渣堆存上料区域，再通过装载机上料，经过粒铁线破碎、筛分、磁选等作业，分选出渣钢、粒铁、粒铁粉、尾渣等产品。其中渣钢、粒铁（粒铁品位≥60%）由乙方负责回供至炼钢制定使用地点（废钢池和散装料仓）；粒铁粉（粒铁粉品位≥47%）由乙方负责回供至烧结作业区料厂。</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2.3乙方负责尾渣（品位＜15%）运输出厂至甲方中转场或甲方指定的其他运输地点，运输时间为8:00-17:30、运输距离小于6KM，年运输量预计35万吨，每天尾渣拉运检验、开票、装车及出厂严格按照《润源榆中分公司尾渣出厂管理办法执行》，。</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2.4乙方负责用挖机安装甲方提供的电磁吸盘对原渣区域筛上大块按照甲方要求充分摊开吸选（不少于三次，大块中无明显可见的含铁物料），吸选完通知甲方进行验收合格后装车出厂。</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2.5乙方负责炼钢分厂74#、75#天车的操作，其中74#天车用于渣罐及渣盘的倾翻倒渣作业，75#天车用于渣盘注余的处理及废钢装车等作业。</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2.6乙方负责榆钢炼钢渣跨区域、粒铁线区域、运输道路区域、所有区域内设备本体及周边卫生清理工作。</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2.7乙方提供炼钢保产区域生产周转所用辅材：焖坑盖金属软管、打水橡胶管、卫生清理工具、岗位标示牌、封闭区域用锁、油漆、休息室电暖气及风扇等。</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2.8乙方负责炼钢保产区域监控视频入网、维护及视频网络费用。</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3. 废钢池废钢加工处理             ；</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3.1乙方负责甲方炼钢分厂中包注余、钢包包底包沿、废旧铁钢包、废旧渣盘、铸铁块、内部回收废钢以及各种废钢等块状、板状、条状、棒材、异型结构废钢的切割加工。</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3.2乙方必须及时切割、加工上述废钢铁，及时交付炼钢废钢池，满足甲方生产需求。</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3.3乙方切割、加工废钢铁所需的工器具及材料备件（高压胶管、割枪、割嘴、吹氧管等工器具），员工所需安全防护用品由乙方自行解决，所用能源介质（氧气）由甲方提供。</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3.4乙方负责将加工好符合甲方要求的各类废钢倒运至甲方指定位置，甲方按照废钢加工标准对不同类型废钢进行验收，严禁不符合验收标准的废钢进入甲方炼钢分厂。</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3.5乙方必须按甲方指定的地点对原料进行加工作业，如特殊情况需要变更时，需与甲方进行协商。不得私自进行处理。</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3.6甲方根据实际情况和作业要求，制定质量和验收标准，乙方严格按照甲方质量和验收标准进行作业。</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(1)加工中包注余废钢尺寸≤600mm，单块重≤1000kg，</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(2)加工棒材中轧废钢坯尺寸≤1200mm。</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(3)乙方供应产品若含渣土、垃圾等合同规定外的物料，由甲方现场验收人员进行扣量或退货，并定期对渣土进行清理。</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(4)中包注余、废旧铁钢包、废旧渣盘、铸铁块等加工标准： 400mm*500mm*600mm，单重＜1000kg。</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(5)内部回收废钢以及各种废钢等加工标准：</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 xml:space="preserve">   管件、圆饼类废钢：长＜400mm；</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 xml:space="preserve">   棒材类废钢：对角线长度＜400mm；</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 xml:space="preserve">   薄板类废钢：对角线长度＜400mm；</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(6)各种类型的容器、桶状应轴向切开，不存在密闭空间；</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(7)发动机、齿轮箱等含油废钢铁，应清除油污，不存在密闭空间。</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(8)废钢中含有以下物品时不允许加工：</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①混有含Cr、Ni等元素的不锈钢及有色金属、放射性物质的废钢。</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②表面含有铝的化合物、建筑物拆出的含水泥的废钢。</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③含有危险的易燃和易爆物品，有毒有害物品废钢。</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(9)乙方供应产品若含渣土、垃圾等合同规定外的物料，由甲方现场验收人员进行扣量或退货，并定期对渣土进行清理。</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(10)乙方免费回供甲方的其他含铁物料，以甲乙双方签字确认的相关合同、规定、纪要内容执行。</w:t>
      </w:r>
    </w:p>
    <w:p>
      <w:pPr>
        <w:keepNext w:val="0"/>
        <w:keepLines w:val="0"/>
        <w:pageBreakBefore w:val="0"/>
        <w:widowControl w:val="0"/>
        <w:kinsoku/>
        <w:wordWrap/>
        <w:overflowPunct/>
        <w:topLinePunct w:val="0"/>
        <w:autoSpaceDE/>
        <w:autoSpaceDN/>
        <w:bidi w:val="0"/>
        <w:adjustRightInd w:val="0"/>
        <w:spacing w:line="360" w:lineRule="auto"/>
        <w:ind w:firstLine="422" w:firstLineChars="200"/>
        <w:textAlignment w:val="auto"/>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二、投标人资格要求</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1.本次招标要求投标人须为中华人民共和国境内的独立法人。</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2.本次招标要求投标人在近三年内经营活动中没有重大违法记录。</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3.本次招标投标人具有中华人民共和国道路运输经营许可证。</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4.本次招标不接受联合体招标。</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5.本次招标投标人投标人具有生产保产服务业务经验，具有充分的业务保障能力和流畅的信息沟通渠道。</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6.本次招标要求投标人在“信用中国”网站、国家企业信用信息公示系统以及企业信息查询网站无失信记录。</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仿宋" w:hAnsi="仿宋" w:eastAsia="仿宋" w:cs="仿宋_GB2312"/>
          <w:b/>
          <w:color w:val="000000"/>
        </w:rPr>
      </w:pPr>
      <w:r>
        <w:rPr>
          <w:rFonts w:hint="eastAsia" w:ascii="宋体" w:hAnsi="宋体" w:eastAsia="宋体" w:cs="Times New Roman"/>
          <w:b/>
          <w:bCs/>
          <w:color w:val="auto"/>
          <w:kern w:val="2"/>
          <w:sz w:val="21"/>
          <w:szCs w:val="21"/>
          <w:highlight w:val="none"/>
          <w:lang w:val="en-US" w:eastAsia="zh-CN" w:bidi="ar-SA"/>
        </w:rPr>
        <w:t>三、招标方式：公开招标</w:t>
      </w:r>
      <w:r>
        <w:rPr>
          <w:rFonts w:hint="eastAsia" w:ascii="宋体" w:hAnsi="宋体"/>
          <w:color w:val="auto"/>
          <w:sz w:val="21"/>
          <w:szCs w:val="21"/>
          <w:highlight w:val="none"/>
          <w:lang w:val="en-US" w:eastAsia="zh-CN"/>
        </w:rPr>
        <w:t>（总承包最低价中标法评标）</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四、合同策划期限</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自2021年11月25日起至 2022年11月24日止。</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五、费用结算</w:t>
      </w:r>
    </w:p>
    <w:p>
      <w:pPr>
        <w:keepNext w:val="0"/>
        <w:keepLines w:val="0"/>
        <w:pageBreakBefore w:val="0"/>
        <w:widowControl w:val="0"/>
        <w:numPr>
          <w:ilvl w:val="0"/>
          <w:numId w:val="0"/>
        </w:numPr>
        <w:kinsoku/>
        <w:wordWrap/>
        <w:overflowPunct/>
        <w:topLinePunct w:val="0"/>
        <w:autoSpaceDE/>
        <w:autoSpaceDN/>
        <w:bidi w:val="0"/>
        <w:spacing w:line="200" w:lineRule="atLeast"/>
        <w:ind w:right="0" w:rightChars="0" w:firstLine="420" w:firstLineChars="200"/>
        <w:jc w:val="both"/>
        <w:textAlignment w:val="auto"/>
        <w:outlineLvl w:val="9"/>
        <w:rPr>
          <w:rFonts w:hint="default" w:ascii="宋体" w:hAnsi="宋体" w:eastAsia="宋体" w:cs="Times New Roman"/>
          <w:b w:val="0"/>
          <w:bCs/>
          <w:color w:val="auto"/>
          <w:kern w:val="2"/>
          <w:sz w:val="21"/>
          <w:szCs w:val="21"/>
          <w:highlight w:val="none"/>
          <w:lang w:val="en-US" w:eastAsia="zh-CN" w:bidi="ar-SA"/>
        </w:rPr>
      </w:pPr>
      <w:r>
        <w:rPr>
          <w:rFonts w:hint="eastAsia" w:ascii="宋体" w:hAnsi="宋体"/>
          <w:color w:val="auto"/>
          <w:sz w:val="21"/>
          <w:szCs w:val="21"/>
          <w:highlight w:val="none"/>
          <w:lang w:val="en-US" w:eastAsia="zh-CN"/>
        </w:rPr>
        <w:t>1.</w:t>
      </w:r>
      <w:r>
        <w:rPr>
          <w:rFonts w:hint="eastAsia" w:ascii="宋体" w:hAnsi="宋体"/>
          <w:b w:val="0"/>
          <w:bCs/>
          <w:color w:val="auto"/>
          <w:sz w:val="21"/>
          <w:szCs w:val="21"/>
          <w:highlight w:val="none"/>
        </w:rPr>
        <w:t xml:space="preserve"> </w:t>
      </w:r>
      <w:r>
        <w:rPr>
          <w:rFonts w:hint="eastAsia" w:ascii="宋体" w:hAnsi="宋体"/>
          <w:b w:val="0"/>
          <w:bCs/>
          <w:color w:val="auto"/>
          <w:sz w:val="21"/>
          <w:szCs w:val="21"/>
          <w:highlight w:val="none"/>
          <w:lang w:eastAsia="zh-CN"/>
        </w:rPr>
        <w:t>乙方作业数量</w:t>
      </w:r>
      <w:r>
        <w:rPr>
          <w:rFonts w:hint="eastAsia" w:ascii="宋体" w:hAnsi="宋体"/>
          <w:b w:val="0"/>
          <w:bCs/>
          <w:color w:val="auto"/>
          <w:sz w:val="21"/>
          <w:szCs w:val="21"/>
          <w:highlight w:val="none"/>
          <w:lang w:val="en-US" w:eastAsia="zh-CN"/>
        </w:rPr>
        <w:t>预计</w:t>
      </w:r>
    </w:p>
    <w:tbl>
      <w:tblPr>
        <w:tblStyle w:val="7"/>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562"/>
        <w:gridCol w:w="2746"/>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21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0"/>
                <w:szCs w:val="20"/>
                <w:highlight w:val="none"/>
                <w:u w:val="none"/>
              </w:rPr>
            </w:pPr>
            <w:r>
              <w:rPr>
                <w:rFonts w:hint="eastAsia" w:ascii="宋体" w:hAnsi="宋体" w:eastAsia="宋体" w:cs="宋体"/>
                <w:b w:val="0"/>
                <w:bCs/>
                <w:i w:val="0"/>
                <w:color w:val="auto"/>
                <w:kern w:val="0"/>
                <w:sz w:val="20"/>
                <w:szCs w:val="20"/>
                <w:highlight w:val="none"/>
                <w:u w:val="none"/>
                <w:lang w:val="en-US" w:eastAsia="zh-CN" w:bidi="ar"/>
              </w:rPr>
              <w:t>业务名称</w:t>
            </w:r>
          </w:p>
        </w:tc>
        <w:tc>
          <w:tcPr>
            <w:tcW w:w="16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0"/>
                <w:szCs w:val="20"/>
                <w:highlight w:val="none"/>
                <w:u w:val="none"/>
              </w:rPr>
            </w:pPr>
            <w:r>
              <w:rPr>
                <w:rFonts w:hint="eastAsia" w:ascii="宋体" w:hAnsi="宋体" w:eastAsia="宋体" w:cs="宋体"/>
                <w:b w:val="0"/>
                <w:bCs/>
                <w:i w:val="0"/>
                <w:color w:val="auto"/>
                <w:kern w:val="0"/>
                <w:sz w:val="20"/>
                <w:szCs w:val="20"/>
                <w:highlight w:val="none"/>
                <w:u w:val="none"/>
                <w:lang w:val="en-US" w:eastAsia="zh-CN" w:bidi="ar"/>
              </w:rPr>
              <w:t>预计加工回供量（吨）</w:t>
            </w:r>
          </w:p>
        </w:tc>
        <w:tc>
          <w:tcPr>
            <w:tcW w:w="12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0"/>
                <w:szCs w:val="20"/>
                <w:highlight w:val="none"/>
                <w:u w:val="none"/>
              </w:rPr>
            </w:pPr>
            <w:r>
              <w:rPr>
                <w:rFonts w:hint="eastAsia" w:ascii="宋体" w:hAnsi="宋体" w:eastAsia="宋体" w:cs="宋体"/>
                <w:b w:val="0"/>
                <w:bCs/>
                <w:i w:val="0"/>
                <w:color w:val="auto"/>
                <w:kern w:val="0"/>
                <w:sz w:val="20"/>
                <w:szCs w:val="20"/>
                <w:highlight w:val="none"/>
                <w:u w:val="none"/>
                <w:lang w:val="en-US" w:eastAsia="zh-CN" w:bidi="ar"/>
              </w:rPr>
              <w:t>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1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0"/>
                <w:szCs w:val="20"/>
                <w:highlight w:val="none"/>
                <w:u w:val="none"/>
              </w:rPr>
            </w:pPr>
            <w:r>
              <w:rPr>
                <w:rFonts w:hint="eastAsia" w:ascii="宋体" w:hAnsi="宋体" w:eastAsia="宋体" w:cs="宋体"/>
                <w:b w:val="0"/>
                <w:bCs/>
                <w:i w:val="0"/>
                <w:color w:val="auto"/>
                <w:kern w:val="0"/>
                <w:sz w:val="20"/>
                <w:szCs w:val="20"/>
                <w:highlight w:val="none"/>
                <w:u w:val="none"/>
                <w:lang w:val="en-US" w:eastAsia="zh-CN" w:bidi="ar"/>
              </w:rPr>
              <w:t>榆钢炼钢保产、钢铁料加工回供</w:t>
            </w:r>
            <w:r>
              <w:rPr>
                <w:rFonts w:hint="eastAsia" w:ascii="宋体" w:hAnsi="宋体" w:eastAsia="宋体" w:cs="宋体"/>
                <w:b w:val="0"/>
                <w:bCs/>
                <w:color w:val="auto"/>
                <w:sz w:val="22"/>
                <w:szCs w:val="22"/>
                <w:highlight w:val="none"/>
                <w:u w:val="none"/>
              </w:rPr>
              <w:t xml:space="preserve"> </w:t>
            </w:r>
          </w:p>
        </w:tc>
        <w:tc>
          <w:tcPr>
            <w:tcW w:w="16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kern w:val="0"/>
                <w:sz w:val="20"/>
                <w:szCs w:val="20"/>
                <w:highlight w:val="none"/>
                <w:u w:val="none"/>
                <w:lang w:val="en-US" w:eastAsia="zh-CN" w:bidi="ar"/>
              </w:rPr>
            </w:pPr>
            <w:r>
              <w:rPr>
                <w:rFonts w:hint="eastAsia" w:ascii="宋体" w:hAnsi="宋体" w:eastAsia="宋体" w:cs="宋体"/>
                <w:b w:val="0"/>
                <w:bCs/>
                <w:i w:val="0"/>
                <w:color w:val="auto"/>
                <w:kern w:val="0"/>
                <w:sz w:val="20"/>
                <w:szCs w:val="20"/>
                <w:highlight w:val="none"/>
                <w:u w:val="none"/>
                <w:lang w:val="en-US" w:eastAsia="zh-CN" w:bidi="ar"/>
              </w:rPr>
              <w:t>80000</w:t>
            </w:r>
          </w:p>
        </w:tc>
        <w:tc>
          <w:tcPr>
            <w:tcW w:w="121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0"/>
                <w:szCs w:val="20"/>
                <w:highlight w:val="none"/>
                <w:u w:val="none"/>
                <w:lang w:val="en-US" w:eastAsia="zh-CN"/>
              </w:rPr>
            </w:pPr>
            <w:r>
              <w:rPr>
                <w:rFonts w:hint="eastAsia" w:ascii="宋体" w:hAnsi="宋体" w:eastAsia="宋体" w:cs="宋体"/>
                <w:b w:val="0"/>
                <w:bCs/>
                <w:i w:val="0"/>
                <w:color w:val="auto"/>
                <w:sz w:val="20"/>
                <w:szCs w:val="20"/>
                <w:highlight w:val="none"/>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1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0"/>
                <w:szCs w:val="20"/>
                <w:highlight w:val="none"/>
                <w:u w:val="none"/>
              </w:rPr>
            </w:pPr>
            <w:r>
              <w:rPr>
                <w:rFonts w:hint="eastAsia" w:ascii="宋体" w:hAnsi="宋体" w:eastAsia="宋体" w:cs="宋体"/>
                <w:b w:val="0"/>
                <w:bCs/>
                <w:i w:val="0"/>
                <w:color w:val="auto"/>
                <w:kern w:val="0"/>
                <w:sz w:val="20"/>
                <w:szCs w:val="20"/>
                <w:highlight w:val="none"/>
                <w:u w:val="none"/>
                <w:lang w:val="en-US" w:eastAsia="zh-CN" w:bidi="ar"/>
              </w:rPr>
              <w:t>渣盘注余加工回供</w:t>
            </w:r>
          </w:p>
        </w:tc>
        <w:tc>
          <w:tcPr>
            <w:tcW w:w="16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kern w:val="0"/>
                <w:sz w:val="20"/>
                <w:szCs w:val="20"/>
                <w:highlight w:val="none"/>
                <w:u w:val="none"/>
                <w:lang w:val="en-US" w:eastAsia="zh-CN" w:bidi="ar"/>
              </w:rPr>
            </w:pPr>
            <w:r>
              <w:rPr>
                <w:rFonts w:hint="eastAsia" w:ascii="宋体" w:hAnsi="宋体" w:eastAsia="宋体" w:cs="宋体"/>
                <w:b w:val="0"/>
                <w:bCs/>
                <w:i w:val="0"/>
                <w:color w:val="auto"/>
                <w:kern w:val="0"/>
                <w:sz w:val="20"/>
                <w:szCs w:val="20"/>
                <w:highlight w:val="none"/>
                <w:u w:val="none"/>
                <w:lang w:val="en-US" w:eastAsia="zh-CN" w:bidi="ar"/>
              </w:rPr>
              <w:t>12000</w:t>
            </w:r>
          </w:p>
        </w:tc>
        <w:tc>
          <w:tcPr>
            <w:tcW w:w="121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0"/>
                <w:szCs w:val="20"/>
                <w:highlight w:val="none"/>
                <w:u w:val="none"/>
                <w:lang w:val="en-US" w:eastAsia="zh-CN"/>
              </w:rPr>
            </w:pPr>
            <w:r>
              <w:rPr>
                <w:rFonts w:hint="eastAsia" w:ascii="宋体" w:hAnsi="宋体" w:eastAsia="宋体" w:cs="宋体"/>
                <w:b w:val="0"/>
                <w:bCs/>
                <w:i w:val="0"/>
                <w:color w:val="auto"/>
                <w:sz w:val="20"/>
                <w:szCs w:val="20"/>
                <w:highlight w:val="none"/>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3" w:hRule="atLeast"/>
          <w:jc w:val="center"/>
        </w:trPr>
        <w:tc>
          <w:tcPr>
            <w:tcW w:w="21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0"/>
                <w:szCs w:val="20"/>
                <w:highlight w:val="none"/>
                <w:u w:val="none"/>
              </w:rPr>
            </w:pPr>
            <w:r>
              <w:rPr>
                <w:rFonts w:hint="eastAsia" w:ascii="宋体" w:hAnsi="宋体" w:eastAsia="宋体" w:cs="宋体"/>
                <w:b w:val="0"/>
                <w:bCs/>
                <w:i w:val="0"/>
                <w:color w:val="auto"/>
                <w:kern w:val="0"/>
                <w:sz w:val="20"/>
                <w:szCs w:val="20"/>
                <w:highlight w:val="none"/>
                <w:u w:val="none"/>
                <w:lang w:val="en-US" w:eastAsia="zh-CN" w:bidi="ar"/>
              </w:rPr>
              <w:t>废钢池废钢切割</w:t>
            </w:r>
          </w:p>
        </w:tc>
        <w:tc>
          <w:tcPr>
            <w:tcW w:w="16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kern w:val="0"/>
                <w:sz w:val="20"/>
                <w:szCs w:val="20"/>
                <w:highlight w:val="none"/>
                <w:u w:val="none"/>
                <w:lang w:val="en-US" w:eastAsia="zh-CN" w:bidi="ar"/>
              </w:rPr>
            </w:pPr>
            <w:r>
              <w:rPr>
                <w:rFonts w:hint="eastAsia" w:ascii="宋体" w:hAnsi="宋体" w:eastAsia="宋体" w:cs="宋体"/>
                <w:b w:val="0"/>
                <w:bCs/>
                <w:i w:val="0"/>
                <w:color w:val="auto"/>
                <w:kern w:val="0"/>
                <w:sz w:val="20"/>
                <w:szCs w:val="20"/>
                <w:highlight w:val="none"/>
                <w:u w:val="none"/>
                <w:lang w:val="en-US" w:eastAsia="zh-CN" w:bidi="ar"/>
              </w:rPr>
              <w:t>6000</w:t>
            </w:r>
          </w:p>
        </w:tc>
        <w:tc>
          <w:tcPr>
            <w:tcW w:w="121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0"/>
                <w:szCs w:val="20"/>
                <w:highlight w:val="none"/>
                <w:u w:val="none"/>
                <w:lang w:val="en-US" w:eastAsia="zh-CN"/>
              </w:rPr>
            </w:pPr>
            <w:r>
              <w:rPr>
                <w:rFonts w:hint="eastAsia" w:ascii="宋体" w:hAnsi="宋体" w:eastAsia="宋体" w:cs="宋体"/>
                <w:b w:val="0"/>
                <w:bCs/>
                <w:i w:val="0"/>
                <w:color w:val="auto"/>
                <w:sz w:val="20"/>
                <w:szCs w:val="20"/>
                <w:highlight w:val="none"/>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1" w:hRule="atLeast"/>
          <w:jc w:val="center"/>
        </w:trPr>
        <w:tc>
          <w:tcPr>
            <w:tcW w:w="21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0"/>
                <w:szCs w:val="20"/>
                <w:highlight w:val="none"/>
                <w:u w:val="none"/>
                <w:lang w:eastAsia="zh-CN"/>
              </w:rPr>
            </w:pPr>
            <w:r>
              <w:rPr>
                <w:rFonts w:hint="eastAsia" w:ascii="宋体" w:hAnsi="宋体" w:eastAsia="宋体" w:cs="宋体"/>
                <w:b w:val="0"/>
                <w:bCs/>
                <w:i w:val="0"/>
                <w:color w:val="auto"/>
                <w:sz w:val="20"/>
                <w:szCs w:val="20"/>
                <w:highlight w:val="none"/>
                <w:u w:val="none"/>
                <w:lang w:eastAsia="zh-CN"/>
              </w:rPr>
              <w:t>合计</w:t>
            </w:r>
          </w:p>
        </w:tc>
        <w:tc>
          <w:tcPr>
            <w:tcW w:w="16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auto"/>
                <w:sz w:val="20"/>
                <w:szCs w:val="20"/>
                <w:highlight w:val="none"/>
                <w:u w:val="none"/>
                <w:lang w:val="en-US" w:eastAsia="zh-CN"/>
              </w:rPr>
            </w:pPr>
            <w:r>
              <w:rPr>
                <w:rFonts w:hint="eastAsia" w:ascii="宋体" w:hAnsi="宋体" w:eastAsia="宋体" w:cs="宋体"/>
                <w:b w:val="0"/>
                <w:bCs/>
                <w:i w:val="0"/>
                <w:color w:val="auto"/>
                <w:sz w:val="20"/>
                <w:szCs w:val="20"/>
                <w:highlight w:val="none"/>
                <w:u w:val="none"/>
                <w:lang w:val="en-US" w:eastAsia="zh-CN"/>
              </w:rPr>
              <w:t>98000</w:t>
            </w:r>
          </w:p>
        </w:tc>
        <w:tc>
          <w:tcPr>
            <w:tcW w:w="121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0"/>
                <w:szCs w:val="20"/>
                <w:highlight w:val="none"/>
                <w:u w:val="none"/>
              </w:rPr>
            </w:pPr>
          </w:p>
        </w:tc>
      </w:tr>
    </w:tbl>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2.结算费用</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 xml:space="preserve">2.1 乙方根据甲方 </w:t>
      </w:r>
      <w:r>
        <w:rPr>
          <w:rFonts w:hint="eastAsia" w:ascii="宋体" w:hAnsi="宋体"/>
          <w:color w:val="auto"/>
          <w:sz w:val="21"/>
          <w:szCs w:val="21"/>
          <w:highlight w:val="none"/>
          <w:u w:val="single"/>
          <w:lang w:val="en-US" w:eastAsia="zh-CN"/>
        </w:rPr>
        <w:t>回供量（切割量）</w:t>
      </w:r>
      <w:r>
        <w:rPr>
          <w:rFonts w:hint="eastAsia" w:ascii="宋体" w:hAnsi="宋体"/>
          <w:color w:val="auto"/>
          <w:sz w:val="21"/>
          <w:szCs w:val="21"/>
          <w:highlight w:val="none"/>
          <w:lang w:val="en-US" w:eastAsia="zh-CN"/>
        </w:rPr>
        <w:t>作为结算依据，以合同单价结算。每月（大月）25、（小月）24日甲、乙双方共同核对无误后，乙方根据合同及结算通知单向甲方开具相应增值税专用发票（发票注明合同号）、乙方在开具增值税专用发票后2日内送至甲方核对、挂帐。如乙方未按时送达发票，造成的损失由乙方全额承担。</w:t>
      </w:r>
    </w:p>
    <w:p>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color w:val="auto"/>
          <w:sz w:val="21"/>
          <w:szCs w:val="21"/>
          <w:highlight w:val="none"/>
          <w:lang w:val="en-US" w:eastAsia="zh-CN"/>
        </w:rPr>
      </w:pPr>
      <w:r>
        <w:rPr>
          <w:rFonts w:hint="eastAsia" w:ascii="宋体" w:hAnsi="宋体"/>
          <w:b/>
          <w:bCs/>
          <w:color w:val="auto"/>
          <w:sz w:val="21"/>
          <w:szCs w:val="21"/>
          <w:highlight w:val="none"/>
          <w:u w:val="single"/>
          <w:lang w:val="en-US" w:eastAsia="zh-CN"/>
        </w:rPr>
        <w:t>结算费用= 钢铁料加工回供量  *中标单价+废钢切割回供量*中标单价-甲方扣款</w:t>
      </w:r>
      <w:r>
        <w:rPr>
          <w:rFonts w:hint="eastAsia" w:ascii="宋体" w:hAnsi="宋体"/>
          <w:color w:val="auto"/>
          <w:sz w:val="21"/>
          <w:szCs w:val="21"/>
          <w:highlight w:val="none"/>
          <w:lang w:val="en-US" w:eastAsia="zh-CN"/>
        </w:rPr>
        <w:t xml:space="preserve"> 。如果结算依据发生变化，以双方共同认可的依据重新进行测算。</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2.2 因甲方原因造成乙方作业数量未达到每月计划产量时，双方当月结算以乙方当月实际发生的人工费用和其他费用为基准，经双方核算确认无误，折算成对应产量后予以结算。</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2.3 甲方对于乙方应承担的违约金应在当月结算后实施。乙方根据甲方当月结算单开具全额增值税专用发票，待甲方挂账后，甲方依据双方签字盖章后的考核单从当月的应付账款中据实扣除；乙方对考核单拒不签字的，甲方留存好处罚证据并将违约金处罚书面文件送达乙方后，甲方可直接执行违约金处罚，不需要乙方签认。</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 xml:space="preserve">2.4 本合同签订后五个工作日内，乙方要向甲方缴纳 </w:t>
      </w:r>
      <w:r>
        <w:rPr>
          <w:rFonts w:hint="eastAsia" w:ascii="宋体" w:hAnsi="宋体"/>
          <w:b/>
          <w:bCs/>
          <w:color w:val="auto"/>
          <w:sz w:val="21"/>
          <w:szCs w:val="21"/>
          <w:highlight w:val="none"/>
          <w:u w:val="single"/>
          <w:lang w:val="en-US" w:eastAsia="zh-CN"/>
        </w:rPr>
        <w:t xml:space="preserve">  100  </w:t>
      </w:r>
      <w:r>
        <w:rPr>
          <w:rFonts w:hint="eastAsia" w:ascii="宋体" w:hAnsi="宋体"/>
          <w:color w:val="auto"/>
          <w:sz w:val="21"/>
          <w:szCs w:val="21"/>
          <w:highlight w:val="none"/>
          <w:lang w:val="en-US" w:eastAsia="zh-CN"/>
        </w:rPr>
        <w:t xml:space="preserve"> 万元的履约保证金，待合同履行期结束后由乙方向甲方提报书面申请，经甲方确认无遗留问题后予以退还，合同履约保证金不计息。当乙方未按合同约定履行或拒不执行合同违约金的，甲方可直接从乙方履约保证金中扣除相应违约金。</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2.5乙方在办理财务挂账后，根据甲方相关付款制度及乙方的月末账面余额，采取按月末账面余额的一定比例滚动付款的方式办理付款业务。确定付款方式为：银行承兑（银行承兑不低于70%）和银行现汇。</w:t>
      </w:r>
    </w:p>
    <w:p>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3.开票及付款信息</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纳税人名称：甘肃润源环境资源科技有限公司榆中分公司；</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纳税人识别号：91620123556299271D；</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地址：榆中县来紫堡乡冯湾等四村；</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开户行：农行兰州秦安路支行；</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账号：27026601040011558</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六、</w:t>
      </w:r>
      <w:r>
        <w:rPr>
          <w:rFonts w:hint="eastAsia" w:ascii="宋体" w:hAnsi="宋体" w:cs="Times New Roman"/>
          <w:b/>
          <w:bCs/>
          <w:color w:val="auto"/>
          <w:kern w:val="2"/>
          <w:sz w:val="21"/>
          <w:szCs w:val="21"/>
          <w:highlight w:val="none"/>
          <w:lang w:val="en-US" w:eastAsia="zh-CN" w:bidi="ar-SA"/>
        </w:rPr>
        <w:t>甲乙双方</w:t>
      </w:r>
      <w:r>
        <w:rPr>
          <w:rFonts w:hint="eastAsia" w:ascii="宋体" w:hAnsi="宋体" w:eastAsia="宋体" w:cs="Times New Roman"/>
          <w:b/>
          <w:bCs/>
          <w:color w:val="auto"/>
          <w:kern w:val="2"/>
          <w:sz w:val="21"/>
          <w:szCs w:val="21"/>
          <w:highlight w:val="none"/>
          <w:lang w:val="en-US" w:eastAsia="zh-CN" w:bidi="ar-SA"/>
        </w:rPr>
        <w:t>权利和义务</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bCs/>
          <w:color w:val="auto"/>
          <w:sz w:val="21"/>
          <w:szCs w:val="21"/>
          <w:highlight w:val="none"/>
        </w:rPr>
      </w:pPr>
      <w:r>
        <w:rPr>
          <w:rFonts w:hint="eastAsia" w:ascii="宋体"/>
          <w:bCs/>
          <w:color w:val="auto"/>
          <w:sz w:val="21"/>
          <w:szCs w:val="21"/>
          <w:highlight w:val="none"/>
        </w:rPr>
        <w:t>甲方的权利：</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一）甲方有权对乙方的作业车辆和人员的作业资质、相关法定手续进行检查，对不符合国家法律法规和甲方管理内容要求的，有权要求乙方进行整改或清退；影响本合同正常履行时，乙方要赔偿给甲方造成的一切经济损失，甲方有权终止本合同。</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（二）甲方</w:t>
      </w:r>
      <w:r>
        <w:rPr>
          <w:rFonts w:hint="eastAsia" w:ascii="宋体"/>
          <w:bCs/>
          <w:color w:val="auto"/>
          <w:sz w:val="21"/>
          <w:szCs w:val="21"/>
          <w:highlight w:val="none"/>
          <w:lang w:eastAsia="zh-CN"/>
        </w:rPr>
        <w:t>有权</w:t>
      </w:r>
      <w:r>
        <w:rPr>
          <w:rFonts w:hint="eastAsia" w:ascii="宋体"/>
          <w:bCs/>
          <w:color w:val="auto"/>
          <w:sz w:val="21"/>
          <w:szCs w:val="21"/>
          <w:highlight w:val="none"/>
        </w:rPr>
        <w:t>对</w:t>
      </w:r>
      <w:r>
        <w:rPr>
          <w:rFonts w:hint="eastAsia" w:ascii="宋体"/>
          <w:bCs/>
          <w:color w:val="auto"/>
          <w:sz w:val="21"/>
          <w:szCs w:val="21"/>
          <w:highlight w:val="none"/>
          <w:lang w:eastAsia="zh-CN"/>
        </w:rPr>
        <w:t>乙方</w:t>
      </w:r>
      <w:r>
        <w:rPr>
          <w:rFonts w:hint="eastAsia" w:ascii="宋体"/>
          <w:bCs/>
          <w:color w:val="auto"/>
          <w:sz w:val="21"/>
          <w:szCs w:val="21"/>
          <w:highlight w:val="none"/>
        </w:rPr>
        <w:t>作业人员的技能及安全前期培训</w:t>
      </w:r>
      <w:r>
        <w:rPr>
          <w:rFonts w:hint="eastAsia" w:ascii="宋体"/>
          <w:bCs/>
          <w:color w:val="auto"/>
          <w:sz w:val="21"/>
          <w:szCs w:val="21"/>
          <w:highlight w:val="none"/>
          <w:lang w:eastAsia="zh-CN"/>
        </w:rPr>
        <w:t>进行</w:t>
      </w:r>
      <w:r>
        <w:rPr>
          <w:rFonts w:hint="eastAsia" w:ascii="宋体"/>
          <w:bCs/>
          <w:color w:val="auto"/>
          <w:sz w:val="21"/>
          <w:szCs w:val="21"/>
          <w:highlight w:val="none"/>
        </w:rPr>
        <w:t>指导和督促检查</w:t>
      </w:r>
      <w:r>
        <w:rPr>
          <w:rFonts w:hint="eastAsia" w:ascii="宋体"/>
          <w:bCs/>
          <w:color w:val="auto"/>
          <w:sz w:val="21"/>
          <w:szCs w:val="21"/>
          <w:highlight w:val="none"/>
          <w:lang w:eastAsia="zh-CN"/>
        </w:rPr>
        <w:t>，</w:t>
      </w:r>
      <w:r>
        <w:rPr>
          <w:rFonts w:hint="eastAsia" w:ascii="宋体"/>
          <w:bCs/>
          <w:color w:val="auto"/>
          <w:sz w:val="21"/>
          <w:szCs w:val="21"/>
          <w:highlight w:val="none"/>
          <w:lang w:val="en-US" w:eastAsia="zh-CN"/>
        </w:rPr>
        <w:t>有权对乙方的作业现场进行检查、监督，有权对乙方的作业进行监督、指导，并负责协调组织工作。</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（三）</w:t>
      </w:r>
      <w:r>
        <w:rPr>
          <w:rFonts w:hint="eastAsia" w:ascii="宋体"/>
          <w:bCs/>
          <w:color w:val="auto"/>
          <w:sz w:val="21"/>
          <w:szCs w:val="21"/>
          <w:highlight w:val="none"/>
        </w:rPr>
        <w:t>甲方有权对乙方工作的完成情况进行评价、考核</w:t>
      </w:r>
      <w:r>
        <w:rPr>
          <w:rFonts w:hint="eastAsia" w:ascii="宋体"/>
          <w:bCs/>
          <w:color w:val="auto"/>
          <w:sz w:val="21"/>
          <w:szCs w:val="21"/>
          <w:highlight w:val="none"/>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rPr>
      </w:pPr>
      <w:r>
        <w:rPr>
          <w:rFonts w:hint="eastAsia" w:ascii="宋体"/>
          <w:bCs/>
          <w:color w:val="auto"/>
          <w:sz w:val="21"/>
          <w:szCs w:val="21"/>
          <w:highlight w:val="none"/>
        </w:rPr>
        <w:t>（四）甲方有权对乙方人员进行相关的管理</w:t>
      </w:r>
      <w:r>
        <w:rPr>
          <w:rFonts w:hint="eastAsia" w:ascii="宋体"/>
          <w:bCs/>
          <w:color w:val="auto"/>
          <w:sz w:val="21"/>
          <w:szCs w:val="21"/>
          <w:highlight w:val="none"/>
          <w:lang w:eastAsia="zh-CN"/>
        </w:rPr>
        <w:t>检查</w:t>
      </w:r>
      <w:r>
        <w:rPr>
          <w:rFonts w:hint="eastAsia" w:ascii="宋体"/>
          <w:bCs/>
          <w:color w:val="auto"/>
          <w:sz w:val="21"/>
          <w:szCs w:val="21"/>
          <w:highlight w:val="none"/>
        </w:rPr>
        <w:t>，包括上、下班出勤记录、</w:t>
      </w:r>
      <w:r>
        <w:rPr>
          <w:rFonts w:hint="eastAsia" w:ascii="宋体"/>
          <w:bCs/>
          <w:color w:val="auto"/>
          <w:sz w:val="21"/>
          <w:szCs w:val="21"/>
          <w:highlight w:val="none"/>
          <w:lang w:eastAsia="zh-CN"/>
        </w:rPr>
        <w:t>工作</w:t>
      </w:r>
      <w:r>
        <w:rPr>
          <w:rFonts w:hint="eastAsia" w:ascii="宋体"/>
          <w:bCs/>
          <w:color w:val="auto"/>
          <w:sz w:val="21"/>
          <w:szCs w:val="21"/>
          <w:highlight w:val="none"/>
        </w:rPr>
        <w:t>情况、违规违纪情况等</w:t>
      </w:r>
      <w:r>
        <w:rPr>
          <w:rFonts w:hint="eastAsia" w:ascii="宋体"/>
          <w:bCs/>
          <w:color w:val="auto"/>
          <w:sz w:val="21"/>
          <w:szCs w:val="21"/>
          <w:highlight w:val="none"/>
          <w:lang w:eastAsia="zh-CN"/>
        </w:rPr>
        <w:t>，</w:t>
      </w:r>
      <w:r>
        <w:rPr>
          <w:rFonts w:hint="eastAsia" w:ascii="宋体"/>
          <w:bCs/>
          <w:color w:val="auto"/>
          <w:sz w:val="21"/>
          <w:szCs w:val="21"/>
          <w:highlight w:val="none"/>
        </w:rPr>
        <w:t>有权对考勤及工资发放情况进行监督检查。</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rPr>
      </w:pPr>
      <w:r>
        <w:rPr>
          <w:rFonts w:hint="eastAsia" w:ascii="宋体"/>
          <w:bCs/>
          <w:color w:val="auto"/>
          <w:sz w:val="21"/>
          <w:szCs w:val="21"/>
          <w:highlight w:val="none"/>
        </w:rPr>
        <w:t>（五）</w:t>
      </w:r>
      <w:r>
        <w:rPr>
          <w:rFonts w:hint="eastAsia" w:ascii="宋体"/>
          <w:bCs/>
          <w:color w:val="auto"/>
          <w:sz w:val="21"/>
          <w:szCs w:val="21"/>
          <w:highlight w:val="none"/>
          <w:lang w:eastAsia="zh-CN"/>
        </w:rPr>
        <w:t>甲方有权</w:t>
      </w:r>
      <w:r>
        <w:rPr>
          <w:rFonts w:hint="eastAsia" w:ascii="宋体"/>
          <w:bCs/>
          <w:color w:val="auto"/>
          <w:sz w:val="21"/>
          <w:szCs w:val="21"/>
          <w:highlight w:val="none"/>
        </w:rPr>
        <w:t>向</w:t>
      </w:r>
      <w:r>
        <w:rPr>
          <w:rFonts w:hint="eastAsia" w:ascii="宋体"/>
          <w:bCs/>
          <w:color w:val="auto"/>
          <w:sz w:val="21"/>
          <w:szCs w:val="21"/>
          <w:highlight w:val="none"/>
          <w:lang w:eastAsia="zh-CN"/>
        </w:rPr>
        <w:t>乙方</w:t>
      </w:r>
      <w:r>
        <w:rPr>
          <w:rFonts w:hint="eastAsia" w:ascii="宋体"/>
          <w:bCs/>
          <w:color w:val="auto"/>
          <w:sz w:val="21"/>
          <w:szCs w:val="21"/>
          <w:highlight w:val="none"/>
        </w:rPr>
        <w:t>下达生产作业量（包括产量、质量、卫生清理量、设备润滑等作业指标）及作业标准。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rPr>
      </w:pPr>
      <w:r>
        <w:rPr>
          <w:rFonts w:hint="eastAsia" w:ascii="宋体"/>
          <w:bCs/>
          <w:color w:val="auto"/>
          <w:sz w:val="21"/>
          <w:szCs w:val="21"/>
          <w:highlight w:val="none"/>
        </w:rPr>
        <w:t>（六）甲方有权要求乙方提供</w:t>
      </w:r>
      <w:r>
        <w:rPr>
          <w:rFonts w:hint="eastAsia" w:ascii="宋体"/>
          <w:bCs/>
          <w:color w:val="auto"/>
          <w:sz w:val="21"/>
          <w:szCs w:val="21"/>
          <w:highlight w:val="none"/>
          <w:lang w:eastAsia="zh-CN"/>
        </w:rPr>
        <w:t>业务外包</w:t>
      </w:r>
      <w:r>
        <w:rPr>
          <w:rFonts w:hint="eastAsia" w:ascii="宋体"/>
          <w:bCs/>
          <w:color w:val="auto"/>
          <w:sz w:val="21"/>
          <w:szCs w:val="21"/>
          <w:highlight w:val="none"/>
        </w:rPr>
        <w:t>人员的有关资料，包括但不限于身份证、</w:t>
      </w:r>
      <w:r>
        <w:rPr>
          <w:rFonts w:hint="eastAsia" w:ascii="宋体"/>
          <w:bCs/>
          <w:color w:val="auto"/>
          <w:sz w:val="21"/>
          <w:szCs w:val="21"/>
          <w:highlight w:val="none"/>
          <w:lang w:eastAsia="zh-CN"/>
        </w:rPr>
        <w:t>体检证明</w:t>
      </w:r>
      <w:r>
        <w:rPr>
          <w:rFonts w:hint="eastAsia" w:ascii="宋体"/>
          <w:bCs/>
          <w:color w:val="auto"/>
          <w:sz w:val="21"/>
          <w:szCs w:val="21"/>
          <w:highlight w:val="none"/>
        </w:rPr>
        <w:t>、劳务/劳动合同、社会保险证明、学历证明、资质证书等资料</w:t>
      </w:r>
      <w:r>
        <w:rPr>
          <w:rFonts w:hint="eastAsia" w:ascii="宋体"/>
          <w:bCs/>
          <w:color w:val="auto"/>
          <w:sz w:val="21"/>
          <w:szCs w:val="21"/>
          <w:highlight w:val="none"/>
          <w:lang w:eastAsia="zh-CN"/>
        </w:rPr>
        <w:t>，</w:t>
      </w:r>
      <w:r>
        <w:rPr>
          <w:rFonts w:hint="eastAsia" w:ascii="宋体"/>
          <w:bCs/>
          <w:color w:val="auto"/>
          <w:sz w:val="21"/>
          <w:szCs w:val="21"/>
          <w:highlight w:val="none"/>
        </w:rPr>
        <w:t>有权对</w:t>
      </w:r>
      <w:r>
        <w:rPr>
          <w:rFonts w:hint="eastAsia" w:ascii="宋体"/>
          <w:bCs/>
          <w:color w:val="auto"/>
          <w:sz w:val="21"/>
          <w:szCs w:val="21"/>
          <w:highlight w:val="none"/>
          <w:lang w:eastAsia="zh-CN"/>
        </w:rPr>
        <w:t>乙方</w:t>
      </w:r>
      <w:r>
        <w:rPr>
          <w:rFonts w:hint="eastAsia" w:ascii="宋体"/>
          <w:bCs/>
          <w:color w:val="auto"/>
          <w:sz w:val="21"/>
          <w:szCs w:val="21"/>
          <w:highlight w:val="none"/>
        </w:rPr>
        <w:t>人员参加社会保险和缴纳社会保险费的情况进行检查。</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rPr>
      </w:pPr>
      <w:r>
        <w:rPr>
          <w:rFonts w:hint="eastAsia" w:ascii="宋体"/>
          <w:bCs/>
          <w:color w:val="auto"/>
          <w:sz w:val="21"/>
          <w:szCs w:val="21"/>
          <w:highlight w:val="none"/>
        </w:rPr>
        <w:t>（七）</w:t>
      </w:r>
      <w:r>
        <w:rPr>
          <w:rFonts w:hint="eastAsia" w:ascii="宋体"/>
          <w:bCs/>
          <w:color w:val="auto"/>
          <w:sz w:val="21"/>
          <w:szCs w:val="21"/>
          <w:highlight w:val="none"/>
          <w:lang w:eastAsia="zh-CN"/>
        </w:rPr>
        <w:t>甲方</w:t>
      </w:r>
      <w:r>
        <w:rPr>
          <w:rFonts w:hint="eastAsia" w:ascii="宋体"/>
          <w:bCs/>
          <w:color w:val="auto"/>
          <w:sz w:val="21"/>
          <w:szCs w:val="21"/>
          <w:highlight w:val="none"/>
        </w:rPr>
        <w:t>有权对</w:t>
      </w:r>
      <w:r>
        <w:rPr>
          <w:rFonts w:hint="eastAsia" w:ascii="宋体"/>
          <w:bCs/>
          <w:color w:val="auto"/>
          <w:sz w:val="21"/>
          <w:szCs w:val="21"/>
          <w:highlight w:val="none"/>
          <w:lang w:eastAsia="zh-CN"/>
        </w:rPr>
        <w:t>乙方</w:t>
      </w:r>
      <w:r>
        <w:rPr>
          <w:rFonts w:hint="eastAsia" w:ascii="宋体"/>
          <w:bCs/>
          <w:color w:val="auto"/>
          <w:sz w:val="21"/>
          <w:szCs w:val="21"/>
          <w:highlight w:val="none"/>
        </w:rPr>
        <w:t>与</w:t>
      </w:r>
      <w:r>
        <w:rPr>
          <w:rFonts w:hint="eastAsia" w:ascii="宋体"/>
          <w:bCs/>
          <w:color w:val="auto"/>
          <w:sz w:val="21"/>
          <w:szCs w:val="21"/>
          <w:highlight w:val="none"/>
          <w:lang w:eastAsia="zh-CN"/>
        </w:rPr>
        <w:t>乙方</w:t>
      </w:r>
      <w:r>
        <w:rPr>
          <w:rFonts w:hint="eastAsia" w:ascii="宋体"/>
          <w:bCs/>
          <w:color w:val="auto"/>
          <w:sz w:val="21"/>
          <w:szCs w:val="21"/>
          <w:highlight w:val="none"/>
        </w:rPr>
        <w:t>作业人员签订劳动合同情况进行检查，对资质不符合国家法规要求的作业人员有权要求更换，拒绝安排作业任务。</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rPr>
      </w:pPr>
      <w:r>
        <w:rPr>
          <w:rFonts w:hint="eastAsia" w:ascii="宋体"/>
          <w:bCs/>
          <w:color w:val="auto"/>
          <w:sz w:val="21"/>
          <w:szCs w:val="21"/>
          <w:highlight w:val="none"/>
          <w:lang w:eastAsia="zh-CN"/>
        </w:rPr>
        <w:t>（八）甲方</w:t>
      </w:r>
      <w:r>
        <w:rPr>
          <w:rFonts w:hint="eastAsia" w:ascii="宋体"/>
          <w:bCs/>
          <w:color w:val="auto"/>
          <w:sz w:val="21"/>
          <w:szCs w:val="21"/>
          <w:highlight w:val="none"/>
        </w:rPr>
        <w:t>有权对</w:t>
      </w:r>
      <w:r>
        <w:rPr>
          <w:rFonts w:hint="eastAsia" w:ascii="宋体"/>
          <w:bCs/>
          <w:color w:val="auto"/>
          <w:sz w:val="21"/>
          <w:szCs w:val="21"/>
          <w:highlight w:val="none"/>
          <w:lang w:eastAsia="zh-CN"/>
        </w:rPr>
        <w:t>乙方</w:t>
      </w:r>
      <w:r>
        <w:rPr>
          <w:rFonts w:hint="eastAsia" w:ascii="宋体"/>
          <w:bCs/>
          <w:color w:val="auto"/>
          <w:sz w:val="21"/>
          <w:szCs w:val="21"/>
          <w:highlight w:val="none"/>
        </w:rPr>
        <w:t>作业人员是否遵守</w:t>
      </w:r>
      <w:r>
        <w:rPr>
          <w:rFonts w:hint="eastAsia" w:ascii="宋体"/>
          <w:bCs/>
          <w:color w:val="auto"/>
          <w:sz w:val="21"/>
          <w:szCs w:val="21"/>
          <w:highlight w:val="none"/>
          <w:lang w:eastAsia="zh-CN"/>
        </w:rPr>
        <w:t>乙方</w:t>
      </w:r>
      <w:r>
        <w:rPr>
          <w:rFonts w:hint="eastAsia" w:ascii="宋体"/>
          <w:bCs/>
          <w:color w:val="auto"/>
          <w:sz w:val="21"/>
          <w:szCs w:val="21"/>
          <w:highlight w:val="none"/>
        </w:rPr>
        <w:t>规章制度、作业标准进行监督检查，对</w:t>
      </w:r>
      <w:r>
        <w:rPr>
          <w:rFonts w:hint="eastAsia" w:ascii="宋体"/>
          <w:bCs/>
          <w:color w:val="auto"/>
          <w:sz w:val="21"/>
          <w:szCs w:val="21"/>
          <w:highlight w:val="none"/>
          <w:lang w:eastAsia="zh-CN"/>
        </w:rPr>
        <w:t>乙方</w:t>
      </w:r>
      <w:r>
        <w:rPr>
          <w:rFonts w:hint="eastAsia" w:ascii="宋体"/>
          <w:bCs/>
          <w:color w:val="auto"/>
          <w:sz w:val="21"/>
          <w:szCs w:val="21"/>
          <w:highlight w:val="none"/>
        </w:rPr>
        <w:t>在作业中的违章行为有权制止，对违规行为有权追究</w:t>
      </w:r>
      <w:r>
        <w:rPr>
          <w:rFonts w:hint="eastAsia" w:ascii="宋体"/>
          <w:bCs/>
          <w:color w:val="auto"/>
          <w:sz w:val="21"/>
          <w:szCs w:val="21"/>
          <w:highlight w:val="none"/>
          <w:lang w:eastAsia="zh-CN"/>
        </w:rPr>
        <w:t>乙方</w:t>
      </w:r>
      <w:r>
        <w:rPr>
          <w:rFonts w:hint="eastAsia" w:ascii="宋体"/>
          <w:bCs/>
          <w:color w:val="auto"/>
          <w:sz w:val="21"/>
          <w:szCs w:val="21"/>
          <w:highlight w:val="none"/>
        </w:rPr>
        <w:t>责任。</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rPr>
      </w:pPr>
      <w:r>
        <w:rPr>
          <w:rFonts w:hint="eastAsia" w:ascii="宋体"/>
          <w:bCs/>
          <w:color w:val="auto"/>
          <w:sz w:val="21"/>
          <w:szCs w:val="21"/>
          <w:highlight w:val="none"/>
          <w:lang w:eastAsia="zh-CN"/>
        </w:rPr>
        <w:t>（九）甲方</w:t>
      </w:r>
      <w:r>
        <w:rPr>
          <w:rFonts w:hint="eastAsia" w:ascii="宋体"/>
          <w:bCs/>
          <w:color w:val="auto"/>
          <w:sz w:val="21"/>
          <w:szCs w:val="21"/>
          <w:highlight w:val="none"/>
        </w:rPr>
        <w:t>有权就</w:t>
      </w:r>
      <w:r>
        <w:rPr>
          <w:rFonts w:hint="eastAsia" w:ascii="宋体"/>
          <w:bCs/>
          <w:color w:val="auto"/>
          <w:sz w:val="21"/>
          <w:szCs w:val="21"/>
          <w:highlight w:val="none"/>
          <w:lang w:eastAsia="zh-CN"/>
        </w:rPr>
        <w:t>乙方</w:t>
      </w:r>
      <w:r>
        <w:rPr>
          <w:rFonts w:hint="eastAsia" w:ascii="宋体"/>
          <w:bCs/>
          <w:color w:val="auto"/>
          <w:sz w:val="21"/>
          <w:szCs w:val="21"/>
          <w:highlight w:val="none"/>
        </w:rPr>
        <w:t>承接业务范围内的事项，向</w:t>
      </w:r>
      <w:r>
        <w:rPr>
          <w:rFonts w:hint="eastAsia" w:ascii="宋体"/>
          <w:bCs/>
          <w:color w:val="auto"/>
          <w:sz w:val="21"/>
          <w:szCs w:val="21"/>
          <w:highlight w:val="none"/>
          <w:lang w:eastAsia="zh-CN"/>
        </w:rPr>
        <w:t>乙方</w:t>
      </w:r>
      <w:r>
        <w:rPr>
          <w:rFonts w:hint="eastAsia" w:ascii="宋体"/>
          <w:bCs/>
          <w:color w:val="auto"/>
          <w:sz w:val="21"/>
          <w:szCs w:val="21"/>
          <w:highlight w:val="none"/>
        </w:rPr>
        <w:t>下达生产作业内容和要求，对作业要求不能按期执行或执行不好有权</w:t>
      </w:r>
      <w:r>
        <w:rPr>
          <w:rFonts w:hint="eastAsia" w:ascii="宋体"/>
          <w:bCs/>
          <w:color w:val="auto"/>
          <w:sz w:val="21"/>
          <w:szCs w:val="21"/>
          <w:highlight w:val="none"/>
          <w:lang w:eastAsia="zh-CN"/>
        </w:rPr>
        <w:t>对乙方进行</w:t>
      </w:r>
      <w:r>
        <w:rPr>
          <w:rFonts w:hint="eastAsia" w:ascii="宋体"/>
          <w:bCs/>
          <w:color w:val="auto"/>
          <w:sz w:val="21"/>
          <w:szCs w:val="21"/>
          <w:highlight w:val="none"/>
        </w:rPr>
        <w:t>相应违约金</w:t>
      </w:r>
      <w:r>
        <w:rPr>
          <w:rFonts w:hint="eastAsia" w:ascii="宋体"/>
          <w:bCs/>
          <w:color w:val="auto"/>
          <w:sz w:val="21"/>
          <w:szCs w:val="21"/>
          <w:highlight w:val="none"/>
          <w:lang w:eastAsia="zh-CN"/>
        </w:rPr>
        <w:t>扣款</w:t>
      </w:r>
      <w:r>
        <w:rPr>
          <w:rFonts w:hint="eastAsia" w:ascii="宋体"/>
          <w:bCs/>
          <w:color w:val="auto"/>
          <w:sz w:val="21"/>
          <w:szCs w:val="21"/>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eastAsia="zh-CN"/>
        </w:rPr>
      </w:pPr>
      <w:r>
        <w:rPr>
          <w:rFonts w:hint="eastAsia" w:ascii="宋体"/>
          <w:bCs/>
          <w:color w:val="auto"/>
          <w:sz w:val="21"/>
          <w:szCs w:val="21"/>
          <w:highlight w:val="none"/>
          <w:lang w:eastAsia="zh-CN"/>
        </w:rPr>
        <w:t>（十）</w:t>
      </w:r>
      <w:r>
        <w:rPr>
          <w:rFonts w:hint="eastAsia" w:ascii="宋体"/>
          <w:bCs/>
          <w:color w:val="auto"/>
          <w:sz w:val="21"/>
          <w:szCs w:val="21"/>
          <w:highlight w:val="none"/>
        </w:rPr>
        <w:t>因</w:t>
      </w:r>
      <w:r>
        <w:rPr>
          <w:rFonts w:hint="eastAsia" w:ascii="宋体"/>
          <w:bCs/>
          <w:color w:val="auto"/>
          <w:sz w:val="21"/>
          <w:szCs w:val="21"/>
          <w:highlight w:val="none"/>
          <w:lang w:eastAsia="zh-CN"/>
        </w:rPr>
        <w:t>乙方</w:t>
      </w:r>
      <w:r>
        <w:rPr>
          <w:rFonts w:hint="eastAsia" w:ascii="宋体"/>
          <w:bCs/>
          <w:color w:val="auto"/>
          <w:sz w:val="21"/>
          <w:szCs w:val="21"/>
          <w:highlight w:val="none"/>
        </w:rPr>
        <w:t>原因造成经济损失，</w:t>
      </w:r>
      <w:r>
        <w:rPr>
          <w:rFonts w:hint="eastAsia" w:ascii="宋体"/>
          <w:bCs/>
          <w:color w:val="auto"/>
          <w:sz w:val="21"/>
          <w:szCs w:val="21"/>
          <w:highlight w:val="none"/>
          <w:lang w:eastAsia="zh-CN"/>
        </w:rPr>
        <w:t>甲方</w:t>
      </w:r>
      <w:r>
        <w:rPr>
          <w:rFonts w:hint="eastAsia" w:ascii="宋体"/>
          <w:bCs/>
          <w:color w:val="auto"/>
          <w:sz w:val="21"/>
          <w:szCs w:val="21"/>
          <w:highlight w:val="none"/>
        </w:rPr>
        <w:t>有权根据损失情况进行索赔</w:t>
      </w:r>
      <w:r>
        <w:rPr>
          <w:rFonts w:hint="eastAsia" w:ascii="宋体"/>
          <w:bCs/>
          <w:color w:val="auto"/>
          <w:sz w:val="21"/>
          <w:szCs w:val="21"/>
          <w:highlight w:val="none"/>
          <w:lang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rPr>
      </w:pPr>
      <w:r>
        <w:rPr>
          <w:rFonts w:hint="eastAsia" w:ascii="宋体"/>
          <w:bCs/>
          <w:color w:val="auto"/>
          <w:sz w:val="21"/>
          <w:szCs w:val="21"/>
          <w:highlight w:val="none"/>
          <w:lang w:eastAsia="zh-CN"/>
        </w:rPr>
        <w:t>（十一）甲方</w:t>
      </w:r>
      <w:r>
        <w:rPr>
          <w:rFonts w:hint="eastAsia" w:ascii="宋体"/>
          <w:bCs/>
          <w:color w:val="auto"/>
          <w:sz w:val="21"/>
          <w:szCs w:val="21"/>
          <w:highlight w:val="none"/>
        </w:rPr>
        <w:t>有权要求</w:t>
      </w:r>
      <w:r>
        <w:rPr>
          <w:rFonts w:hint="eastAsia" w:ascii="宋体"/>
          <w:bCs/>
          <w:color w:val="auto"/>
          <w:sz w:val="21"/>
          <w:szCs w:val="21"/>
          <w:highlight w:val="none"/>
          <w:lang w:eastAsia="zh-CN"/>
        </w:rPr>
        <w:t>乙方</w:t>
      </w:r>
      <w:r>
        <w:rPr>
          <w:rFonts w:hint="eastAsia" w:ascii="宋体"/>
          <w:bCs/>
          <w:color w:val="auto"/>
          <w:sz w:val="21"/>
          <w:szCs w:val="21"/>
          <w:highlight w:val="none"/>
        </w:rPr>
        <w:t>更换作业人员，凡对</w:t>
      </w:r>
      <w:r>
        <w:rPr>
          <w:rFonts w:hint="eastAsia" w:ascii="宋体"/>
          <w:bCs/>
          <w:color w:val="auto"/>
          <w:sz w:val="21"/>
          <w:szCs w:val="21"/>
          <w:highlight w:val="none"/>
          <w:lang w:eastAsia="zh-CN"/>
        </w:rPr>
        <w:t>甲方</w:t>
      </w:r>
      <w:r>
        <w:rPr>
          <w:rFonts w:hint="eastAsia" w:ascii="宋体"/>
          <w:bCs/>
          <w:color w:val="auto"/>
          <w:sz w:val="21"/>
          <w:szCs w:val="21"/>
          <w:highlight w:val="none"/>
        </w:rPr>
        <w:t>造成损失的由</w:t>
      </w:r>
      <w:r>
        <w:rPr>
          <w:rFonts w:hint="eastAsia" w:ascii="宋体"/>
          <w:bCs/>
          <w:color w:val="auto"/>
          <w:sz w:val="21"/>
          <w:szCs w:val="21"/>
          <w:highlight w:val="none"/>
          <w:lang w:eastAsia="zh-CN"/>
        </w:rPr>
        <w:t>乙方</w:t>
      </w:r>
      <w:r>
        <w:rPr>
          <w:rFonts w:hint="eastAsia" w:ascii="宋体"/>
          <w:bCs/>
          <w:color w:val="auto"/>
          <w:sz w:val="21"/>
          <w:szCs w:val="21"/>
          <w:highlight w:val="none"/>
        </w:rPr>
        <w:t>按损失全额赔偿。</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eastAsia="zh-CN"/>
        </w:rPr>
        <w:t>（十二）甲方</w:t>
      </w:r>
      <w:r>
        <w:rPr>
          <w:rFonts w:hint="eastAsia" w:ascii="宋体"/>
          <w:bCs/>
          <w:color w:val="auto"/>
          <w:sz w:val="21"/>
          <w:szCs w:val="21"/>
          <w:highlight w:val="none"/>
        </w:rPr>
        <w:t>有权对</w:t>
      </w:r>
      <w:r>
        <w:rPr>
          <w:rFonts w:hint="eastAsia" w:ascii="宋体"/>
          <w:bCs/>
          <w:color w:val="auto"/>
          <w:sz w:val="21"/>
          <w:szCs w:val="21"/>
          <w:highlight w:val="none"/>
          <w:lang w:eastAsia="zh-CN"/>
        </w:rPr>
        <w:t>乙方</w:t>
      </w:r>
      <w:r>
        <w:rPr>
          <w:rFonts w:hint="eastAsia" w:ascii="宋体"/>
          <w:bCs/>
          <w:color w:val="auto"/>
          <w:sz w:val="21"/>
          <w:szCs w:val="21"/>
          <w:highlight w:val="none"/>
        </w:rPr>
        <w:t>作业人员的安全教育和特殊工种培训计划进行监督、检查。安全教育和特殊工种培训所产生的费用由</w:t>
      </w:r>
      <w:r>
        <w:rPr>
          <w:rFonts w:hint="eastAsia" w:ascii="宋体"/>
          <w:bCs/>
          <w:color w:val="auto"/>
          <w:sz w:val="21"/>
          <w:szCs w:val="21"/>
          <w:highlight w:val="none"/>
          <w:lang w:eastAsia="zh-CN"/>
        </w:rPr>
        <w:t>乙方</w:t>
      </w:r>
      <w:r>
        <w:rPr>
          <w:rFonts w:hint="eastAsia" w:ascii="宋体"/>
          <w:bCs/>
          <w:color w:val="auto"/>
          <w:sz w:val="21"/>
          <w:szCs w:val="21"/>
          <w:highlight w:val="none"/>
        </w:rPr>
        <w:t>全部承担。</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（十三）甲方要求乙方提供履行合同所需工机具，乙方必须配备齐全，不得影响生产。</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rPr>
      </w:pPr>
      <w:r>
        <w:rPr>
          <w:rFonts w:hint="eastAsia" w:ascii="宋体"/>
          <w:bCs/>
          <w:color w:val="auto"/>
          <w:sz w:val="21"/>
          <w:szCs w:val="21"/>
          <w:highlight w:val="none"/>
          <w:lang w:eastAsia="zh-CN"/>
        </w:rPr>
        <w:t>（</w:t>
      </w:r>
      <w:r>
        <w:rPr>
          <w:rFonts w:hint="eastAsia" w:ascii="宋体"/>
          <w:bCs/>
          <w:color w:val="auto"/>
          <w:sz w:val="21"/>
          <w:szCs w:val="21"/>
          <w:highlight w:val="none"/>
          <w:lang w:val="en-US" w:eastAsia="zh-CN"/>
        </w:rPr>
        <w:t>十四</w:t>
      </w:r>
      <w:r>
        <w:rPr>
          <w:rFonts w:hint="eastAsia" w:ascii="宋体"/>
          <w:bCs/>
          <w:color w:val="auto"/>
          <w:sz w:val="21"/>
          <w:szCs w:val="21"/>
          <w:highlight w:val="none"/>
          <w:lang w:eastAsia="zh-CN"/>
        </w:rPr>
        <w:t>）</w:t>
      </w:r>
      <w:r>
        <w:rPr>
          <w:rFonts w:hint="eastAsia" w:ascii="宋体"/>
          <w:bCs/>
          <w:color w:val="auto"/>
          <w:sz w:val="21"/>
          <w:szCs w:val="21"/>
          <w:highlight w:val="none"/>
        </w:rPr>
        <w:t>甲方有监督、检查的权利，不允许合格废钢或</w:t>
      </w:r>
      <w:r>
        <w:rPr>
          <w:rFonts w:hint="eastAsia" w:ascii="宋体"/>
          <w:bCs/>
          <w:color w:val="auto"/>
          <w:sz w:val="21"/>
          <w:szCs w:val="21"/>
          <w:highlight w:val="none"/>
          <w:lang w:eastAsia="zh-CN"/>
        </w:rPr>
        <w:t>在</w:t>
      </w:r>
      <w:r>
        <w:rPr>
          <w:rFonts w:hint="eastAsia" w:ascii="宋体"/>
          <w:bCs/>
          <w:color w:val="auto"/>
          <w:sz w:val="21"/>
          <w:szCs w:val="21"/>
          <w:highlight w:val="none"/>
        </w:rPr>
        <w:t>渣跨加工的废钢</w:t>
      </w:r>
      <w:r>
        <w:rPr>
          <w:rFonts w:hint="eastAsia" w:ascii="宋体"/>
          <w:bCs/>
          <w:color w:val="auto"/>
          <w:sz w:val="21"/>
          <w:szCs w:val="21"/>
          <w:highlight w:val="none"/>
          <w:lang w:eastAsia="zh-CN"/>
        </w:rPr>
        <w:t>运</w:t>
      </w:r>
      <w:r>
        <w:rPr>
          <w:rFonts w:hint="eastAsia" w:ascii="宋体"/>
          <w:bCs/>
          <w:color w:val="auto"/>
          <w:sz w:val="21"/>
          <w:szCs w:val="21"/>
          <w:highlight w:val="none"/>
        </w:rPr>
        <w:t>出</w:t>
      </w:r>
      <w:r>
        <w:rPr>
          <w:rFonts w:hint="eastAsia" w:ascii="宋体"/>
          <w:bCs/>
          <w:color w:val="auto"/>
          <w:sz w:val="21"/>
          <w:szCs w:val="21"/>
          <w:highlight w:val="none"/>
          <w:lang w:val="en-US" w:eastAsia="zh-CN"/>
        </w:rPr>
        <w:t>榆钢公司</w:t>
      </w:r>
      <w:r>
        <w:rPr>
          <w:rFonts w:hint="eastAsia" w:ascii="宋体"/>
          <w:bCs/>
          <w:color w:val="auto"/>
          <w:sz w:val="21"/>
          <w:szCs w:val="21"/>
          <w:highlight w:val="none"/>
        </w:rPr>
        <w:t>区域。</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rPr>
      </w:pPr>
      <w:r>
        <w:rPr>
          <w:rFonts w:hint="eastAsia" w:ascii="宋体"/>
          <w:bCs/>
          <w:color w:val="auto"/>
          <w:sz w:val="21"/>
          <w:szCs w:val="21"/>
          <w:highlight w:val="none"/>
          <w:lang w:eastAsia="zh-CN"/>
        </w:rPr>
        <w:t>（</w:t>
      </w:r>
      <w:r>
        <w:rPr>
          <w:rFonts w:hint="eastAsia" w:ascii="宋体"/>
          <w:bCs/>
          <w:color w:val="auto"/>
          <w:sz w:val="21"/>
          <w:szCs w:val="21"/>
          <w:highlight w:val="none"/>
          <w:lang w:val="en-US" w:eastAsia="zh-CN"/>
        </w:rPr>
        <w:t>十五</w:t>
      </w:r>
      <w:r>
        <w:rPr>
          <w:rFonts w:hint="eastAsia" w:ascii="宋体"/>
          <w:bCs/>
          <w:color w:val="auto"/>
          <w:sz w:val="21"/>
          <w:szCs w:val="21"/>
          <w:highlight w:val="none"/>
          <w:lang w:eastAsia="zh-CN"/>
        </w:rPr>
        <w:t>）</w:t>
      </w:r>
      <w:r>
        <w:rPr>
          <w:rFonts w:hint="eastAsia" w:ascii="宋体"/>
          <w:bCs/>
          <w:color w:val="auto"/>
          <w:sz w:val="21"/>
          <w:szCs w:val="21"/>
          <w:highlight w:val="none"/>
        </w:rPr>
        <w:t>甲方有权利按照质量标准、验收标准要求对乙方加工处理完的各类废钢尺寸进行检查、验收，对不符合要求的不予结算。</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rPr>
      </w:pPr>
      <w:r>
        <w:rPr>
          <w:rFonts w:hint="eastAsia" w:ascii="宋体"/>
          <w:bCs/>
          <w:color w:val="auto"/>
          <w:sz w:val="21"/>
          <w:szCs w:val="21"/>
          <w:highlight w:val="none"/>
          <w:lang w:eastAsia="zh-CN"/>
        </w:rPr>
        <w:t>（</w:t>
      </w:r>
      <w:r>
        <w:rPr>
          <w:rFonts w:hint="eastAsia" w:ascii="宋体"/>
          <w:bCs/>
          <w:color w:val="auto"/>
          <w:sz w:val="21"/>
          <w:szCs w:val="21"/>
          <w:highlight w:val="none"/>
          <w:lang w:val="en-US" w:eastAsia="zh-CN"/>
        </w:rPr>
        <w:t>十六</w:t>
      </w:r>
      <w:r>
        <w:rPr>
          <w:rFonts w:hint="eastAsia" w:ascii="宋体"/>
          <w:bCs/>
          <w:color w:val="auto"/>
          <w:sz w:val="21"/>
          <w:szCs w:val="21"/>
          <w:highlight w:val="none"/>
          <w:lang w:eastAsia="zh-CN"/>
        </w:rPr>
        <w:t>）</w:t>
      </w:r>
      <w:r>
        <w:rPr>
          <w:rFonts w:hint="eastAsia" w:ascii="宋体"/>
          <w:bCs/>
          <w:color w:val="auto"/>
          <w:sz w:val="21"/>
          <w:szCs w:val="21"/>
          <w:highlight w:val="none"/>
        </w:rPr>
        <w:t>在合同执行过程中坚持实行“安全一票否决制”，如乙方在履行合同内容过程发生死亡事故时，甲方有权解除合同，并对年度死亡事故的一律纳入不合格供方。</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eastAsia="zh-CN"/>
        </w:rPr>
        <w:t>（</w:t>
      </w:r>
      <w:r>
        <w:rPr>
          <w:rFonts w:hint="eastAsia" w:ascii="宋体"/>
          <w:bCs/>
          <w:color w:val="auto"/>
          <w:sz w:val="21"/>
          <w:szCs w:val="21"/>
          <w:highlight w:val="none"/>
          <w:lang w:val="en-US" w:eastAsia="zh-CN"/>
        </w:rPr>
        <w:t>十七</w:t>
      </w:r>
      <w:r>
        <w:rPr>
          <w:rFonts w:hint="eastAsia" w:ascii="宋体"/>
          <w:bCs/>
          <w:color w:val="auto"/>
          <w:sz w:val="21"/>
          <w:szCs w:val="21"/>
          <w:highlight w:val="none"/>
          <w:lang w:eastAsia="zh-CN"/>
        </w:rPr>
        <w:t>）</w:t>
      </w:r>
      <w:r>
        <w:rPr>
          <w:rFonts w:hint="eastAsia" w:ascii="宋体"/>
          <w:bCs/>
          <w:color w:val="auto"/>
          <w:sz w:val="21"/>
          <w:szCs w:val="21"/>
          <w:highlight w:val="none"/>
        </w:rPr>
        <w:t>乙方因劳资等原因的罢工现象，甲方将根据影响程度的大小，进行考核、整顿,情节严重者清退。</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bCs/>
          <w:color w:val="auto"/>
          <w:sz w:val="21"/>
          <w:szCs w:val="21"/>
          <w:highlight w:val="none"/>
        </w:rPr>
      </w:pPr>
      <w:r>
        <w:rPr>
          <w:rFonts w:hint="eastAsia" w:ascii="宋体"/>
          <w:bCs/>
          <w:color w:val="auto"/>
          <w:sz w:val="21"/>
          <w:szCs w:val="21"/>
          <w:highlight w:val="none"/>
        </w:rPr>
        <w:t>甲方的义务：</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rPr>
      </w:pPr>
      <w:r>
        <w:rPr>
          <w:rFonts w:hint="eastAsia" w:ascii="宋体"/>
          <w:bCs/>
          <w:color w:val="auto"/>
          <w:sz w:val="21"/>
          <w:szCs w:val="21"/>
          <w:highlight w:val="none"/>
          <w:lang w:eastAsia="zh-CN"/>
        </w:rPr>
        <w:t>（</w:t>
      </w:r>
      <w:r>
        <w:rPr>
          <w:rFonts w:hint="eastAsia" w:ascii="宋体"/>
          <w:bCs/>
          <w:color w:val="auto"/>
          <w:sz w:val="21"/>
          <w:szCs w:val="21"/>
          <w:highlight w:val="none"/>
          <w:lang w:val="en-US" w:eastAsia="zh-CN"/>
        </w:rPr>
        <w:t>一</w:t>
      </w:r>
      <w:r>
        <w:rPr>
          <w:rFonts w:hint="eastAsia" w:ascii="宋体"/>
          <w:bCs/>
          <w:color w:val="auto"/>
          <w:sz w:val="21"/>
          <w:szCs w:val="21"/>
          <w:highlight w:val="none"/>
          <w:lang w:eastAsia="zh-CN"/>
        </w:rPr>
        <w:t>）甲方有义务</w:t>
      </w:r>
      <w:r>
        <w:rPr>
          <w:rFonts w:hint="eastAsia" w:ascii="宋体"/>
          <w:bCs/>
          <w:color w:val="auto"/>
          <w:sz w:val="21"/>
          <w:szCs w:val="21"/>
          <w:highlight w:val="none"/>
        </w:rPr>
        <w:t>按酒钢集团公司规定协助</w:t>
      </w:r>
      <w:r>
        <w:rPr>
          <w:rFonts w:hint="eastAsia" w:ascii="宋体"/>
          <w:bCs/>
          <w:color w:val="auto"/>
          <w:sz w:val="21"/>
          <w:szCs w:val="21"/>
          <w:highlight w:val="none"/>
          <w:lang w:eastAsia="zh-CN"/>
        </w:rPr>
        <w:t>乙方</w:t>
      </w:r>
      <w:r>
        <w:rPr>
          <w:rFonts w:hint="eastAsia" w:ascii="宋体"/>
          <w:bCs/>
          <w:color w:val="auto"/>
          <w:sz w:val="21"/>
          <w:szCs w:val="21"/>
          <w:highlight w:val="none"/>
        </w:rPr>
        <w:t>办理生产线相关车辆和人员入厂事宜。</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rPr>
      </w:pPr>
      <w:r>
        <w:rPr>
          <w:rFonts w:hint="eastAsia" w:ascii="宋体"/>
          <w:bCs/>
          <w:color w:val="auto"/>
          <w:sz w:val="21"/>
          <w:szCs w:val="21"/>
          <w:highlight w:val="none"/>
          <w:lang w:eastAsia="zh-CN"/>
        </w:rPr>
        <w:t>（</w:t>
      </w:r>
      <w:r>
        <w:rPr>
          <w:rFonts w:hint="eastAsia" w:ascii="宋体"/>
          <w:bCs/>
          <w:color w:val="auto"/>
          <w:sz w:val="21"/>
          <w:szCs w:val="21"/>
          <w:highlight w:val="none"/>
          <w:lang w:val="en-US" w:eastAsia="zh-CN"/>
        </w:rPr>
        <w:t>二</w:t>
      </w:r>
      <w:r>
        <w:rPr>
          <w:rFonts w:hint="eastAsia" w:ascii="宋体"/>
          <w:bCs/>
          <w:color w:val="auto"/>
          <w:sz w:val="21"/>
          <w:szCs w:val="21"/>
          <w:highlight w:val="none"/>
          <w:lang w:eastAsia="zh-CN"/>
        </w:rPr>
        <w:t>）甲方有义务</w:t>
      </w:r>
      <w:r>
        <w:rPr>
          <w:rFonts w:hint="eastAsia" w:ascii="宋体"/>
          <w:bCs/>
          <w:color w:val="auto"/>
          <w:sz w:val="21"/>
          <w:szCs w:val="21"/>
          <w:highlight w:val="none"/>
        </w:rPr>
        <w:t>根据</w:t>
      </w:r>
      <w:r>
        <w:rPr>
          <w:rFonts w:hint="eastAsia" w:ascii="宋体"/>
          <w:bCs/>
          <w:color w:val="auto"/>
          <w:sz w:val="21"/>
          <w:szCs w:val="21"/>
          <w:highlight w:val="none"/>
          <w:lang w:eastAsia="zh-CN"/>
        </w:rPr>
        <w:t>乙方</w:t>
      </w:r>
      <w:r>
        <w:rPr>
          <w:rFonts w:hint="eastAsia" w:ascii="宋体"/>
          <w:bCs/>
          <w:color w:val="auto"/>
          <w:sz w:val="21"/>
          <w:szCs w:val="21"/>
          <w:highlight w:val="none"/>
        </w:rPr>
        <w:t>人员的岗位进行上岗前的安全告知。</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rPr>
      </w:pPr>
      <w:r>
        <w:rPr>
          <w:rFonts w:hint="eastAsia" w:ascii="宋体"/>
          <w:bCs/>
          <w:color w:val="auto"/>
          <w:sz w:val="21"/>
          <w:szCs w:val="21"/>
          <w:highlight w:val="none"/>
          <w:lang w:eastAsia="zh-CN"/>
        </w:rPr>
        <w:t>（</w:t>
      </w:r>
      <w:r>
        <w:rPr>
          <w:rFonts w:hint="eastAsia" w:ascii="宋体"/>
          <w:bCs/>
          <w:color w:val="auto"/>
          <w:sz w:val="21"/>
          <w:szCs w:val="21"/>
          <w:highlight w:val="none"/>
          <w:lang w:val="en-US" w:eastAsia="zh-CN"/>
        </w:rPr>
        <w:t>三</w:t>
      </w:r>
      <w:r>
        <w:rPr>
          <w:rFonts w:hint="eastAsia" w:ascii="宋体"/>
          <w:bCs/>
          <w:color w:val="auto"/>
          <w:sz w:val="21"/>
          <w:szCs w:val="21"/>
          <w:highlight w:val="none"/>
          <w:lang w:eastAsia="zh-CN"/>
        </w:rPr>
        <w:t>）甲方</w:t>
      </w:r>
      <w:r>
        <w:rPr>
          <w:rFonts w:hint="eastAsia" w:ascii="宋体"/>
          <w:bCs/>
          <w:color w:val="auto"/>
          <w:sz w:val="21"/>
          <w:szCs w:val="21"/>
          <w:highlight w:val="none"/>
        </w:rPr>
        <w:t>工作量发生明显变化，应及时告知</w:t>
      </w:r>
      <w:r>
        <w:rPr>
          <w:rFonts w:hint="eastAsia" w:ascii="宋体"/>
          <w:bCs/>
          <w:color w:val="auto"/>
          <w:sz w:val="21"/>
          <w:szCs w:val="21"/>
          <w:highlight w:val="none"/>
          <w:lang w:eastAsia="zh-CN"/>
        </w:rPr>
        <w:t>乙方</w:t>
      </w:r>
      <w:r>
        <w:rPr>
          <w:rFonts w:hint="eastAsia" w:ascii="宋体"/>
          <w:bCs/>
          <w:color w:val="auto"/>
          <w:sz w:val="21"/>
          <w:szCs w:val="21"/>
          <w:highlight w:val="none"/>
        </w:rPr>
        <w:t>，以便于</w:t>
      </w:r>
      <w:r>
        <w:rPr>
          <w:rFonts w:hint="eastAsia" w:ascii="宋体"/>
          <w:bCs/>
          <w:color w:val="auto"/>
          <w:sz w:val="21"/>
          <w:szCs w:val="21"/>
          <w:highlight w:val="none"/>
          <w:lang w:eastAsia="zh-CN"/>
        </w:rPr>
        <w:t>乙方</w:t>
      </w:r>
      <w:r>
        <w:rPr>
          <w:rFonts w:hint="eastAsia" w:ascii="宋体"/>
          <w:bCs/>
          <w:color w:val="auto"/>
          <w:sz w:val="21"/>
          <w:szCs w:val="21"/>
          <w:highlight w:val="none"/>
        </w:rPr>
        <w:t>调整作业人员配置。</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rPr>
      </w:pPr>
      <w:r>
        <w:rPr>
          <w:rFonts w:hint="eastAsia" w:ascii="宋体"/>
          <w:bCs/>
          <w:color w:val="auto"/>
          <w:sz w:val="21"/>
          <w:szCs w:val="21"/>
          <w:highlight w:val="none"/>
          <w:lang w:eastAsia="zh-CN"/>
        </w:rPr>
        <w:t>（</w:t>
      </w:r>
      <w:r>
        <w:rPr>
          <w:rFonts w:hint="eastAsia" w:ascii="宋体"/>
          <w:bCs/>
          <w:color w:val="auto"/>
          <w:sz w:val="21"/>
          <w:szCs w:val="21"/>
          <w:highlight w:val="none"/>
          <w:lang w:val="en-US" w:eastAsia="zh-CN"/>
        </w:rPr>
        <w:t>四</w:t>
      </w:r>
      <w:r>
        <w:rPr>
          <w:rFonts w:hint="eastAsia" w:ascii="宋体"/>
          <w:bCs/>
          <w:color w:val="auto"/>
          <w:sz w:val="21"/>
          <w:szCs w:val="21"/>
          <w:highlight w:val="none"/>
          <w:lang w:eastAsia="zh-CN"/>
        </w:rPr>
        <w:t>）甲方负责</w:t>
      </w:r>
      <w:r>
        <w:rPr>
          <w:rFonts w:hint="eastAsia" w:ascii="宋体"/>
          <w:bCs/>
          <w:color w:val="auto"/>
          <w:sz w:val="21"/>
          <w:szCs w:val="21"/>
          <w:highlight w:val="none"/>
        </w:rPr>
        <w:t>提供生产所需设备</w:t>
      </w:r>
      <w:r>
        <w:rPr>
          <w:rFonts w:hint="eastAsia" w:ascii="宋体"/>
          <w:bCs/>
          <w:color w:val="auto"/>
          <w:sz w:val="21"/>
          <w:szCs w:val="21"/>
          <w:highlight w:val="none"/>
          <w:lang w:val="en-US" w:eastAsia="zh-CN"/>
        </w:rPr>
        <w:t>设施</w:t>
      </w:r>
      <w:r>
        <w:rPr>
          <w:rFonts w:hint="eastAsia" w:ascii="宋体"/>
          <w:bCs/>
          <w:color w:val="auto"/>
          <w:sz w:val="21"/>
          <w:szCs w:val="21"/>
          <w:highlight w:val="none"/>
        </w:rPr>
        <w:t>、生产原料</w:t>
      </w:r>
      <w:r>
        <w:rPr>
          <w:rFonts w:hint="eastAsia" w:ascii="宋体"/>
          <w:bCs/>
          <w:color w:val="auto"/>
          <w:sz w:val="21"/>
          <w:szCs w:val="21"/>
          <w:highlight w:val="none"/>
          <w:lang w:eastAsia="zh-CN"/>
        </w:rPr>
        <w:t>、动力能源介质费用（包括水、电、</w:t>
      </w:r>
      <w:r>
        <w:rPr>
          <w:rFonts w:hint="eastAsia" w:ascii="宋体"/>
          <w:bCs/>
          <w:color w:val="auto"/>
          <w:sz w:val="21"/>
          <w:szCs w:val="21"/>
          <w:highlight w:val="none"/>
          <w:lang w:val="en-US" w:eastAsia="zh-CN"/>
        </w:rPr>
        <w:t>氧气</w:t>
      </w:r>
      <w:r>
        <w:rPr>
          <w:rFonts w:hint="eastAsia" w:ascii="宋体"/>
          <w:bCs/>
          <w:color w:val="auto"/>
          <w:sz w:val="21"/>
          <w:szCs w:val="21"/>
          <w:highlight w:val="none"/>
          <w:lang w:eastAsia="zh-CN"/>
        </w:rPr>
        <w:t>）</w:t>
      </w:r>
      <w:r>
        <w:rPr>
          <w:rFonts w:hint="eastAsia" w:ascii="宋体"/>
          <w:bCs/>
          <w:color w:val="auto"/>
          <w:sz w:val="21"/>
          <w:szCs w:val="21"/>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rPr>
      </w:pPr>
      <w:r>
        <w:rPr>
          <w:rFonts w:hint="eastAsia" w:ascii="宋体"/>
          <w:bCs/>
          <w:color w:val="auto"/>
          <w:sz w:val="21"/>
          <w:szCs w:val="21"/>
          <w:highlight w:val="none"/>
          <w:lang w:eastAsia="zh-CN"/>
        </w:rPr>
        <w:t>（</w:t>
      </w:r>
      <w:r>
        <w:rPr>
          <w:rFonts w:hint="eastAsia" w:ascii="宋体"/>
          <w:bCs/>
          <w:color w:val="auto"/>
          <w:sz w:val="21"/>
          <w:szCs w:val="21"/>
          <w:highlight w:val="none"/>
          <w:lang w:val="en-US" w:eastAsia="zh-CN"/>
        </w:rPr>
        <w:t>五</w:t>
      </w:r>
      <w:r>
        <w:rPr>
          <w:rFonts w:hint="eastAsia" w:ascii="宋体"/>
          <w:bCs/>
          <w:color w:val="auto"/>
          <w:sz w:val="21"/>
          <w:szCs w:val="21"/>
          <w:highlight w:val="none"/>
          <w:lang w:eastAsia="zh-CN"/>
        </w:rPr>
        <w:t>）</w:t>
      </w:r>
      <w:r>
        <w:rPr>
          <w:rFonts w:hint="eastAsia" w:ascii="宋体"/>
          <w:bCs/>
          <w:color w:val="auto"/>
          <w:sz w:val="21"/>
          <w:szCs w:val="21"/>
          <w:highlight w:val="none"/>
        </w:rPr>
        <w:t>在</w:t>
      </w:r>
      <w:r>
        <w:rPr>
          <w:rFonts w:hint="eastAsia" w:ascii="宋体"/>
          <w:bCs/>
          <w:color w:val="auto"/>
          <w:sz w:val="21"/>
          <w:szCs w:val="21"/>
          <w:highlight w:val="none"/>
          <w:lang w:eastAsia="zh-CN"/>
        </w:rPr>
        <w:t>生产外包</w:t>
      </w:r>
      <w:r>
        <w:rPr>
          <w:rFonts w:hint="eastAsia" w:ascii="宋体"/>
          <w:bCs/>
          <w:color w:val="auto"/>
          <w:sz w:val="21"/>
          <w:szCs w:val="21"/>
          <w:highlight w:val="none"/>
        </w:rPr>
        <w:t>实施过程中，甲方应为乙方提供必要的技术支持与工作指导，配合乙方履行职责。</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rPr>
      </w:pPr>
      <w:r>
        <w:rPr>
          <w:rFonts w:hint="eastAsia" w:ascii="宋体"/>
          <w:bCs/>
          <w:color w:val="auto"/>
          <w:sz w:val="21"/>
          <w:szCs w:val="21"/>
          <w:highlight w:val="none"/>
          <w:lang w:eastAsia="zh-CN"/>
        </w:rPr>
        <w:t>（</w:t>
      </w:r>
      <w:r>
        <w:rPr>
          <w:rFonts w:hint="eastAsia" w:ascii="宋体"/>
          <w:bCs/>
          <w:color w:val="auto"/>
          <w:sz w:val="21"/>
          <w:szCs w:val="21"/>
          <w:highlight w:val="none"/>
          <w:lang w:val="en-US" w:eastAsia="zh-CN"/>
        </w:rPr>
        <w:t>六</w:t>
      </w:r>
      <w:r>
        <w:rPr>
          <w:rFonts w:hint="eastAsia" w:ascii="宋体"/>
          <w:bCs/>
          <w:color w:val="auto"/>
          <w:sz w:val="21"/>
          <w:szCs w:val="21"/>
          <w:highlight w:val="none"/>
          <w:lang w:eastAsia="zh-CN"/>
        </w:rPr>
        <w:t>）甲方负责</w:t>
      </w:r>
      <w:r>
        <w:rPr>
          <w:rFonts w:hint="eastAsia" w:ascii="宋体"/>
          <w:bCs/>
          <w:color w:val="auto"/>
          <w:sz w:val="21"/>
          <w:szCs w:val="21"/>
          <w:highlight w:val="none"/>
        </w:rPr>
        <w:t>承担生产设备的维修、点检</w:t>
      </w:r>
      <w:r>
        <w:rPr>
          <w:rFonts w:hint="eastAsia" w:ascii="宋体"/>
          <w:bCs/>
          <w:color w:val="auto"/>
          <w:sz w:val="21"/>
          <w:szCs w:val="21"/>
          <w:highlight w:val="none"/>
          <w:lang w:eastAsia="zh-CN"/>
        </w:rPr>
        <w:t>，且保证每月有效的生产时间不少于</w:t>
      </w:r>
      <w:r>
        <w:rPr>
          <w:rFonts w:hint="eastAsia" w:ascii="宋体"/>
          <w:bCs/>
          <w:color w:val="auto"/>
          <w:sz w:val="21"/>
          <w:szCs w:val="21"/>
          <w:highlight w:val="none"/>
          <w:lang w:val="en-US" w:eastAsia="zh-CN"/>
        </w:rPr>
        <w:t>26天（2月份除外）。</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rPr>
      </w:pPr>
      <w:r>
        <w:rPr>
          <w:rFonts w:hint="eastAsia" w:ascii="宋体"/>
          <w:bCs/>
          <w:color w:val="auto"/>
          <w:sz w:val="21"/>
          <w:szCs w:val="21"/>
          <w:highlight w:val="none"/>
          <w:lang w:eastAsia="zh-CN"/>
        </w:rPr>
        <w:t>（</w:t>
      </w:r>
      <w:r>
        <w:rPr>
          <w:rFonts w:hint="eastAsia" w:ascii="宋体"/>
          <w:bCs/>
          <w:color w:val="auto"/>
          <w:sz w:val="21"/>
          <w:szCs w:val="21"/>
          <w:highlight w:val="none"/>
          <w:lang w:val="en-US" w:eastAsia="zh-CN"/>
        </w:rPr>
        <w:t>七</w:t>
      </w:r>
      <w:r>
        <w:rPr>
          <w:rFonts w:hint="eastAsia" w:ascii="宋体"/>
          <w:bCs/>
          <w:color w:val="auto"/>
          <w:sz w:val="21"/>
          <w:szCs w:val="21"/>
          <w:highlight w:val="none"/>
          <w:lang w:eastAsia="zh-CN"/>
        </w:rPr>
        <w:t>）</w:t>
      </w:r>
      <w:r>
        <w:rPr>
          <w:rFonts w:hint="eastAsia" w:ascii="宋体"/>
          <w:bCs/>
          <w:color w:val="auto"/>
          <w:sz w:val="21"/>
          <w:szCs w:val="21"/>
          <w:highlight w:val="none"/>
        </w:rPr>
        <w:t>甲方在乙方完成合同所规定的保产及钢渣加工、钢铁料回供任务情况下，按月支付乙方应得的承包费。</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rPr>
      </w:pPr>
      <w:r>
        <w:rPr>
          <w:rFonts w:hint="eastAsia" w:ascii="宋体"/>
          <w:bCs/>
          <w:color w:val="auto"/>
          <w:sz w:val="21"/>
          <w:szCs w:val="21"/>
          <w:highlight w:val="none"/>
          <w:lang w:eastAsia="zh-CN"/>
        </w:rPr>
        <w:t>（</w:t>
      </w:r>
      <w:r>
        <w:rPr>
          <w:rFonts w:hint="eastAsia" w:ascii="宋体"/>
          <w:bCs/>
          <w:color w:val="auto"/>
          <w:sz w:val="21"/>
          <w:szCs w:val="21"/>
          <w:highlight w:val="none"/>
          <w:lang w:val="en-US" w:eastAsia="zh-CN"/>
        </w:rPr>
        <w:t>八</w:t>
      </w:r>
      <w:r>
        <w:rPr>
          <w:rFonts w:hint="eastAsia" w:ascii="宋体"/>
          <w:bCs/>
          <w:color w:val="auto"/>
          <w:sz w:val="21"/>
          <w:szCs w:val="21"/>
          <w:highlight w:val="none"/>
          <w:lang w:eastAsia="zh-CN"/>
        </w:rPr>
        <w:t>）</w:t>
      </w:r>
      <w:r>
        <w:rPr>
          <w:rFonts w:hint="eastAsia" w:ascii="宋体"/>
          <w:bCs/>
          <w:color w:val="auto"/>
          <w:sz w:val="21"/>
          <w:szCs w:val="21"/>
          <w:highlight w:val="none"/>
        </w:rPr>
        <w:t>甲方有义务为乙方提供必要的工作条件及环境，有义务将相关管理规定和要求提供给乙方，为乙方在甲方作业区域的作业活动提供必要的支持。</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rPr>
      </w:pPr>
      <w:r>
        <w:rPr>
          <w:rFonts w:hint="eastAsia" w:ascii="宋体"/>
          <w:bCs/>
          <w:color w:val="auto"/>
          <w:sz w:val="21"/>
          <w:szCs w:val="21"/>
          <w:highlight w:val="none"/>
          <w:lang w:eastAsia="zh-CN"/>
        </w:rPr>
        <w:t>（</w:t>
      </w:r>
      <w:r>
        <w:rPr>
          <w:rFonts w:hint="eastAsia" w:ascii="宋体"/>
          <w:bCs/>
          <w:color w:val="auto"/>
          <w:sz w:val="21"/>
          <w:szCs w:val="21"/>
          <w:highlight w:val="none"/>
          <w:lang w:val="en-US" w:eastAsia="zh-CN"/>
        </w:rPr>
        <w:t>九</w:t>
      </w:r>
      <w:r>
        <w:rPr>
          <w:rFonts w:hint="eastAsia" w:ascii="宋体"/>
          <w:bCs/>
          <w:color w:val="auto"/>
          <w:sz w:val="21"/>
          <w:szCs w:val="21"/>
          <w:highlight w:val="none"/>
          <w:lang w:eastAsia="zh-CN"/>
        </w:rPr>
        <w:t>）</w:t>
      </w:r>
      <w:r>
        <w:rPr>
          <w:rFonts w:hint="eastAsia" w:ascii="宋体"/>
          <w:bCs/>
          <w:color w:val="auto"/>
          <w:sz w:val="21"/>
          <w:szCs w:val="21"/>
          <w:highlight w:val="none"/>
        </w:rPr>
        <w:t>甲方工作量发生变化，应及时告知乙方，以便乙方调整相关作业配置。</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rPr>
      </w:pPr>
      <w:r>
        <w:rPr>
          <w:rFonts w:hint="eastAsia" w:ascii="宋体"/>
          <w:bCs/>
          <w:color w:val="auto"/>
          <w:sz w:val="21"/>
          <w:szCs w:val="21"/>
          <w:highlight w:val="none"/>
          <w:lang w:eastAsia="zh-CN"/>
        </w:rPr>
        <w:t>（</w:t>
      </w:r>
      <w:r>
        <w:rPr>
          <w:rFonts w:hint="eastAsia" w:ascii="宋体"/>
          <w:bCs/>
          <w:color w:val="auto"/>
          <w:sz w:val="21"/>
          <w:szCs w:val="21"/>
          <w:highlight w:val="none"/>
          <w:lang w:val="en-US" w:eastAsia="zh-CN"/>
        </w:rPr>
        <w:t>十</w:t>
      </w:r>
      <w:r>
        <w:rPr>
          <w:rFonts w:hint="eastAsia" w:ascii="宋体"/>
          <w:bCs/>
          <w:color w:val="auto"/>
          <w:sz w:val="21"/>
          <w:szCs w:val="21"/>
          <w:highlight w:val="none"/>
          <w:lang w:eastAsia="zh-CN"/>
        </w:rPr>
        <w:t>）</w:t>
      </w:r>
      <w:r>
        <w:rPr>
          <w:rFonts w:hint="eastAsia" w:ascii="宋体"/>
          <w:bCs/>
          <w:color w:val="auto"/>
          <w:sz w:val="21"/>
          <w:szCs w:val="21"/>
          <w:highlight w:val="none"/>
        </w:rPr>
        <w:t>甲方有义务对乙方承包业务进行检查评价，并适时给予指导和监督。</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bCs/>
          <w:color w:val="auto"/>
          <w:sz w:val="21"/>
          <w:szCs w:val="21"/>
          <w:highlight w:val="none"/>
        </w:rPr>
      </w:pPr>
      <w:r>
        <w:rPr>
          <w:rFonts w:hint="eastAsia" w:ascii="宋体"/>
          <w:bCs/>
          <w:color w:val="auto"/>
          <w:sz w:val="21"/>
          <w:szCs w:val="21"/>
          <w:highlight w:val="none"/>
        </w:rPr>
        <w:t>乙方的权利：</w:t>
      </w:r>
    </w:p>
    <w:p>
      <w:pPr>
        <w:pStyle w:val="14"/>
        <w:keepNext w:val="0"/>
        <w:keepLines w:val="0"/>
        <w:pageBreakBefore w:val="0"/>
        <w:widowControl w:val="0"/>
        <w:numPr>
          <w:ilvl w:val="0"/>
          <w:numId w:val="2"/>
        </w:numPr>
        <w:tabs>
          <w:tab w:val="left" w:pos="0"/>
          <w:tab w:val="left" w:pos="405"/>
          <w:tab w:val="left" w:pos="567"/>
          <w:tab w:val="left" w:pos="601"/>
          <w:tab w:val="left" w:pos="1980"/>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bCs/>
          <w:color w:val="auto"/>
          <w:sz w:val="21"/>
          <w:szCs w:val="21"/>
          <w:highlight w:val="none"/>
        </w:rPr>
      </w:pPr>
      <w:r>
        <w:rPr>
          <w:rFonts w:hint="eastAsia" w:ascii="宋体" w:hAnsi="宋体"/>
          <w:bCs/>
          <w:color w:val="auto"/>
          <w:sz w:val="21"/>
          <w:szCs w:val="21"/>
          <w:highlight w:val="none"/>
          <w:lang w:eastAsia="zh-CN"/>
        </w:rPr>
        <w:t>乙方有权拒绝甲方违章指挥和强令冒险作业</w:t>
      </w:r>
      <w:r>
        <w:rPr>
          <w:rFonts w:hint="eastAsia" w:ascii="宋体" w:hAnsi="宋体"/>
          <w:bCs/>
          <w:color w:val="auto"/>
          <w:sz w:val="21"/>
          <w:szCs w:val="21"/>
          <w:highlight w:val="none"/>
        </w:rPr>
        <w:t>。</w:t>
      </w:r>
    </w:p>
    <w:p>
      <w:pPr>
        <w:pStyle w:val="14"/>
        <w:keepNext w:val="0"/>
        <w:keepLines w:val="0"/>
        <w:pageBreakBefore w:val="0"/>
        <w:widowControl w:val="0"/>
        <w:numPr>
          <w:ilvl w:val="0"/>
          <w:numId w:val="2"/>
        </w:numPr>
        <w:tabs>
          <w:tab w:val="left" w:pos="0"/>
          <w:tab w:val="left" w:pos="405"/>
          <w:tab w:val="left" w:pos="567"/>
          <w:tab w:val="left" w:pos="601"/>
          <w:tab w:val="left" w:pos="1980"/>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cs="宋体"/>
          <w:bCs/>
          <w:color w:val="auto"/>
          <w:sz w:val="21"/>
          <w:szCs w:val="21"/>
          <w:highlight w:val="none"/>
        </w:rPr>
      </w:pPr>
      <w:r>
        <w:rPr>
          <w:rFonts w:hint="eastAsia" w:ascii="宋体" w:hAnsi="宋体" w:cs="宋体"/>
          <w:bCs/>
          <w:color w:val="auto"/>
          <w:sz w:val="21"/>
          <w:szCs w:val="21"/>
          <w:highlight w:val="none"/>
          <w:lang w:eastAsia="zh-CN"/>
        </w:rPr>
        <w:t>乙方有权要求甲方提供作业场所的安全告知和安全路线</w:t>
      </w:r>
      <w:r>
        <w:rPr>
          <w:rFonts w:hint="eastAsia" w:ascii="宋体" w:hAnsi="宋体" w:cs="宋体"/>
          <w:bCs/>
          <w:color w:val="auto"/>
          <w:sz w:val="21"/>
          <w:szCs w:val="21"/>
          <w:highlight w:val="none"/>
        </w:rPr>
        <w:t>。</w:t>
      </w:r>
    </w:p>
    <w:p>
      <w:pPr>
        <w:pStyle w:val="14"/>
        <w:keepNext w:val="0"/>
        <w:keepLines w:val="0"/>
        <w:pageBreakBefore w:val="0"/>
        <w:widowControl w:val="0"/>
        <w:numPr>
          <w:ilvl w:val="0"/>
          <w:numId w:val="2"/>
        </w:numPr>
        <w:tabs>
          <w:tab w:val="left" w:pos="0"/>
          <w:tab w:val="left" w:pos="405"/>
          <w:tab w:val="left" w:pos="567"/>
          <w:tab w:val="left" w:pos="601"/>
          <w:tab w:val="left" w:pos="1980"/>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cs="宋体"/>
          <w:bCs/>
          <w:color w:val="auto"/>
          <w:sz w:val="21"/>
          <w:szCs w:val="21"/>
          <w:highlight w:val="none"/>
        </w:rPr>
      </w:pPr>
      <w:r>
        <w:rPr>
          <w:rFonts w:hint="eastAsia" w:ascii="宋体" w:hAnsi="宋体"/>
          <w:bCs/>
          <w:color w:val="auto"/>
          <w:sz w:val="21"/>
          <w:szCs w:val="21"/>
          <w:highlight w:val="none"/>
          <w:lang w:eastAsia="zh-CN"/>
        </w:rPr>
        <w:t>乙方有权对甲方作业现场的安全隐患提出整改意见并要求甲方完善安全防护措施。</w:t>
      </w:r>
    </w:p>
    <w:p>
      <w:pPr>
        <w:pStyle w:val="14"/>
        <w:keepNext w:val="0"/>
        <w:keepLines w:val="0"/>
        <w:pageBreakBefore w:val="0"/>
        <w:widowControl w:val="0"/>
        <w:numPr>
          <w:ilvl w:val="0"/>
          <w:numId w:val="2"/>
        </w:numPr>
        <w:tabs>
          <w:tab w:val="left" w:pos="0"/>
          <w:tab w:val="left" w:pos="405"/>
          <w:tab w:val="left" w:pos="567"/>
          <w:tab w:val="left" w:pos="601"/>
          <w:tab w:val="left" w:pos="1980"/>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cs="宋体"/>
          <w:bCs/>
          <w:color w:val="auto"/>
          <w:sz w:val="21"/>
          <w:szCs w:val="21"/>
          <w:highlight w:val="none"/>
          <w:u w:val="none" w:color="auto"/>
        </w:rPr>
      </w:pPr>
      <w:r>
        <w:rPr>
          <w:rFonts w:hint="eastAsia" w:ascii="宋体" w:hAnsi="宋体" w:cs="宋体"/>
          <w:bCs/>
          <w:color w:val="auto"/>
          <w:sz w:val="21"/>
          <w:szCs w:val="21"/>
          <w:highlight w:val="none"/>
          <w:u w:val="none" w:color="auto"/>
          <w:lang w:eastAsia="zh-CN"/>
        </w:rPr>
        <w:t>乙方有权要求甲方提供保产作业现场相关的工艺参数和设备资料</w:t>
      </w:r>
      <w:r>
        <w:rPr>
          <w:rFonts w:hint="eastAsia" w:ascii="宋体" w:hAnsi="宋体" w:cs="宋体"/>
          <w:bCs/>
          <w:color w:val="auto"/>
          <w:sz w:val="21"/>
          <w:szCs w:val="21"/>
          <w:highlight w:val="none"/>
          <w:u w:val="none" w:color="auto"/>
        </w:rPr>
        <w:t>。</w:t>
      </w:r>
    </w:p>
    <w:p>
      <w:pPr>
        <w:pStyle w:val="14"/>
        <w:keepNext w:val="0"/>
        <w:keepLines w:val="0"/>
        <w:pageBreakBefore w:val="0"/>
        <w:widowControl w:val="0"/>
        <w:numPr>
          <w:ilvl w:val="0"/>
          <w:numId w:val="2"/>
        </w:numPr>
        <w:tabs>
          <w:tab w:val="left" w:pos="0"/>
          <w:tab w:val="left" w:pos="405"/>
          <w:tab w:val="left" w:pos="567"/>
          <w:tab w:val="left" w:pos="601"/>
          <w:tab w:val="left" w:pos="1980"/>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cs="宋体"/>
          <w:bCs/>
          <w:color w:val="auto"/>
          <w:sz w:val="21"/>
          <w:szCs w:val="21"/>
          <w:highlight w:val="none"/>
          <w:u w:val="none" w:color="auto"/>
        </w:rPr>
      </w:pPr>
      <w:r>
        <w:rPr>
          <w:rFonts w:hint="eastAsia" w:ascii="宋体" w:hAnsi="宋体" w:cs="宋体"/>
          <w:bCs/>
          <w:color w:val="auto"/>
          <w:sz w:val="21"/>
          <w:szCs w:val="21"/>
          <w:highlight w:val="none"/>
          <w:u w:val="none" w:color="auto"/>
          <w:lang w:eastAsia="zh-CN"/>
        </w:rPr>
        <w:t>乙方有权要求甲方提供必要的技术支持和工作指导。</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u w:val="none" w:color="auto"/>
        </w:rPr>
      </w:pPr>
      <w:r>
        <w:rPr>
          <w:rFonts w:hint="eastAsia" w:ascii="宋体" w:hAnsi="宋体" w:cs="宋体"/>
          <w:b w:val="0"/>
          <w:bCs/>
          <w:color w:val="auto"/>
          <w:sz w:val="21"/>
          <w:szCs w:val="21"/>
          <w:highlight w:val="none"/>
          <w:u w:val="none" w:color="auto"/>
          <w:lang w:val="en-US" w:eastAsia="zh-CN"/>
        </w:rPr>
        <w:t>（六）乙方有权自行组织保产及运输车辆，制定相关车辆管理制度的权利。</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bCs/>
          <w:color w:val="auto"/>
          <w:sz w:val="21"/>
          <w:szCs w:val="21"/>
          <w:highlight w:val="none"/>
          <w:u w:val="none" w:color="auto"/>
        </w:rPr>
      </w:pPr>
      <w:r>
        <w:rPr>
          <w:rFonts w:hint="eastAsia" w:ascii="宋体"/>
          <w:bCs/>
          <w:color w:val="auto"/>
          <w:sz w:val="21"/>
          <w:szCs w:val="21"/>
          <w:highlight w:val="none"/>
          <w:u w:val="none" w:color="auto"/>
        </w:rPr>
        <w:t>乙方的义务：</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lang w:eastAsia="zh-CN"/>
        </w:rPr>
      </w:pPr>
      <w:r>
        <w:rPr>
          <w:rFonts w:hint="eastAsia" w:ascii="宋体" w:hAnsi="宋体"/>
          <w:b w:val="0"/>
          <w:bCs/>
          <w:color w:val="auto"/>
          <w:sz w:val="21"/>
          <w:szCs w:val="21"/>
          <w:highlight w:val="none"/>
          <w:u w:val="none" w:color="auto"/>
          <w:lang w:eastAsia="zh-CN"/>
        </w:rPr>
        <w:t>乙方必须按照甲方的作业标准及安全管理等各项规章制度制定乙方的作业标准及规章制度，不得与甲方规章制度内容相冲突。</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lang w:eastAsia="zh-CN"/>
        </w:rPr>
      </w:pPr>
      <w:r>
        <w:rPr>
          <w:rFonts w:hint="eastAsia" w:ascii="宋体" w:hAnsi="宋体"/>
          <w:b w:val="0"/>
          <w:bCs/>
          <w:color w:val="auto"/>
          <w:sz w:val="21"/>
          <w:szCs w:val="21"/>
          <w:highlight w:val="none"/>
          <w:u w:val="none" w:color="auto"/>
          <w:lang w:eastAsia="zh-CN"/>
        </w:rPr>
        <w:t>乙方按照合同内容规定的工作要求，在合同期内完成用工人员的招聘和上岗前的培训工作，属于特种作业岗位或者岗位要求必须取得特种作业操作资质证的，乙方作业人员必须取得特种作业操作资质证。</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lang w:eastAsia="zh-CN"/>
        </w:rPr>
      </w:pPr>
      <w:r>
        <w:rPr>
          <w:rFonts w:hint="eastAsia" w:ascii="宋体" w:hAnsi="宋体"/>
          <w:b w:val="0"/>
          <w:bCs/>
          <w:color w:val="auto"/>
          <w:sz w:val="21"/>
          <w:szCs w:val="21"/>
          <w:highlight w:val="none"/>
          <w:u w:val="none" w:color="auto"/>
          <w:lang w:eastAsia="zh-CN"/>
        </w:rPr>
        <w:t>乙方人员进入工作现场，必须遵守乙方的作业标准及规章制度，劳动防护用品必须穿戴齐全，服从乙方的管理，完成岗位工作任务，不得从事与合同规定工作无关的事。</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lang w:eastAsia="zh-CN"/>
        </w:rPr>
      </w:pPr>
      <w:r>
        <w:rPr>
          <w:rFonts w:hint="eastAsia" w:ascii="宋体" w:hAnsi="宋体"/>
          <w:b w:val="0"/>
          <w:bCs/>
          <w:color w:val="auto"/>
          <w:sz w:val="21"/>
          <w:szCs w:val="21"/>
          <w:highlight w:val="none"/>
          <w:u w:val="none" w:color="auto"/>
          <w:lang w:eastAsia="zh-CN"/>
        </w:rPr>
        <w:t>乙方从事合同规定的具体作业岗位工作任务，执行甲方作业标准，遵守甲方安全管理的各项规定及制度。</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lang w:eastAsia="zh-CN"/>
        </w:rPr>
      </w:pPr>
      <w:r>
        <w:rPr>
          <w:rFonts w:hint="eastAsia" w:ascii="宋体" w:hAnsi="宋体"/>
          <w:b w:val="0"/>
          <w:bCs/>
          <w:color w:val="auto"/>
          <w:sz w:val="21"/>
          <w:szCs w:val="21"/>
          <w:highlight w:val="none"/>
          <w:u w:val="none" w:color="auto"/>
          <w:lang w:eastAsia="zh-CN"/>
        </w:rPr>
        <w:t>乙方要根据有关法律法规规定设置安全生产管理机构或配备专职（兼职）安全生产管理人员，对人员进行日常的安全教育、安全培训、安全交底、现场设备设施隐患的排查、违章情况检查等现场安全管理，并根据作业地点、作业内容、作业人数制定相应作业人员安全互保联保对子。</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lang w:eastAsia="zh-CN"/>
        </w:rPr>
      </w:pPr>
      <w:r>
        <w:rPr>
          <w:rFonts w:hint="eastAsia" w:ascii="宋体" w:hAnsi="宋体"/>
          <w:b w:val="0"/>
          <w:bCs/>
          <w:color w:val="auto"/>
          <w:sz w:val="21"/>
          <w:szCs w:val="21"/>
          <w:highlight w:val="none"/>
          <w:u w:val="none" w:color="auto"/>
          <w:lang w:eastAsia="zh-CN"/>
        </w:rPr>
        <w:t xml:space="preserve">乙方负责用工上岗前的三级安全教育，岗位技能培训，培训考试合格后方可上岗作业。   </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lang w:eastAsia="zh-CN"/>
        </w:rPr>
      </w:pPr>
      <w:r>
        <w:rPr>
          <w:rFonts w:hint="eastAsia" w:ascii="宋体" w:hAnsi="宋体"/>
          <w:b w:val="0"/>
          <w:bCs/>
          <w:color w:val="auto"/>
          <w:sz w:val="21"/>
          <w:szCs w:val="21"/>
          <w:highlight w:val="none"/>
          <w:u w:val="none" w:color="auto"/>
          <w:lang w:eastAsia="zh-CN"/>
        </w:rPr>
        <w:t>乙方要严格遵守国家法律、法规以及酒钢</w:t>
      </w:r>
      <w:r>
        <w:rPr>
          <w:rFonts w:hint="eastAsia" w:ascii="宋体" w:hAnsi="宋体"/>
          <w:b w:val="0"/>
          <w:bCs/>
          <w:color w:val="auto"/>
          <w:sz w:val="21"/>
          <w:szCs w:val="21"/>
          <w:highlight w:val="none"/>
          <w:u w:val="none" w:color="auto"/>
          <w:lang w:val="en-US" w:eastAsia="zh-CN"/>
        </w:rPr>
        <w:t>榆钢</w:t>
      </w:r>
      <w:r>
        <w:rPr>
          <w:rFonts w:hint="eastAsia" w:ascii="宋体" w:hAnsi="宋体"/>
          <w:b w:val="0"/>
          <w:bCs/>
          <w:color w:val="auto"/>
          <w:sz w:val="21"/>
          <w:szCs w:val="21"/>
          <w:highlight w:val="none"/>
          <w:u w:val="none" w:color="auto"/>
          <w:lang w:eastAsia="zh-CN"/>
        </w:rPr>
        <w:t>冶金厂内交通管理等有关规定，在合同履行期间因乙方不遵守国家法律法规或不遵守酒钢冶金厂内交通管理等规定所发生的一切违法犯罪、安全及交通事故由乙方承担全部责任，并妥善处理。</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lang w:eastAsia="zh-CN"/>
        </w:rPr>
      </w:pPr>
      <w:r>
        <w:rPr>
          <w:rFonts w:hint="eastAsia" w:ascii="宋体" w:hAnsi="宋体"/>
          <w:b w:val="0"/>
          <w:bCs/>
          <w:color w:val="auto"/>
          <w:sz w:val="21"/>
          <w:szCs w:val="21"/>
          <w:highlight w:val="none"/>
          <w:u w:val="none" w:color="auto"/>
          <w:lang w:eastAsia="zh-CN"/>
        </w:rPr>
        <w:t>乙方必须完成甲方安排的生产任务，严格遵守乙方承包岗位安全、操作、技术规程，履行岗位职责。</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lang w:eastAsia="zh-CN"/>
        </w:rPr>
      </w:pPr>
      <w:r>
        <w:rPr>
          <w:rFonts w:hint="eastAsia" w:ascii="宋体" w:hAnsi="宋体"/>
          <w:b w:val="0"/>
          <w:bCs/>
          <w:color w:val="auto"/>
          <w:sz w:val="21"/>
          <w:szCs w:val="21"/>
          <w:highlight w:val="none"/>
          <w:u w:val="none" w:color="auto"/>
          <w:lang w:eastAsia="zh-CN"/>
        </w:rPr>
        <w:t>乙方应完全按照工艺操作规程进行生产控制，负责具体落实各项工艺控制参数，对工艺参数落实、负责并做好记录。</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lang w:eastAsia="zh-CN"/>
        </w:rPr>
      </w:pPr>
      <w:r>
        <w:rPr>
          <w:rFonts w:hint="eastAsia" w:ascii="宋体" w:hAnsi="宋体"/>
          <w:b w:val="0"/>
          <w:bCs/>
          <w:color w:val="auto"/>
          <w:sz w:val="21"/>
          <w:szCs w:val="21"/>
          <w:highlight w:val="none"/>
          <w:u w:val="none" w:color="auto"/>
          <w:lang w:eastAsia="zh-CN"/>
        </w:rPr>
        <w:t>甲方因工艺或市场需要，对生产线的配方或产品进行调整时，乙方需全力配合，并做好正常生产组织。</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lang w:eastAsia="zh-CN"/>
        </w:rPr>
      </w:pPr>
      <w:r>
        <w:rPr>
          <w:rFonts w:hint="eastAsia" w:ascii="宋体" w:hAnsi="宋体"/>
          <w:b w:val="0"/>
          <w:bCs/>
          <w:color w:val="auto"/>
          <w:sz w:val="21"/>
          <w:szCs w:val="21"/>
          <w:highlight w:val="none"/>
          <w:u w:val="none" w:color="auto"/>
          <w:lang w:eastAsia="zh-CN"/>
        </w:rPr>
        <w:t>乙方生产出的产品质量必须符合</w:t>
      </w:r>
      <w:r>
        <w:rPr>
          <w:rFonts w:hint="eastAsia" w:ascii="宋体" w:hAnsi="宋体"/>
          <w:b w:val="0"/>
          <w:bCs/>
          <w:color w:val="auto"/>
          <w:sz w:val="21"/>
          <w:szCs w:val="21"/>
          <w:highlight w:val="none"/>
          <w:u w:val="none" w:color="auto"/>
          <w:lang w:val="en-US" w:eastAsia="zh-CN"/>
        </w:rPr>
        <w:t>甲方要求</w:t>
      </w:r>
      <w:r>
        <w:rPr>
          <w:rFonts w:hint="eastAsia" w:ascii="宋体" w:hAnsi="宋体"/>
          <w:b w:val="0"/>
          <w:bCs/>
          <w:color w:val="auto"/>
          <w:sz w:val="21"/>
          <w:szCs w:val="21"/>
          <w:highlight w:val="none"/>
          <w:u w:val="none" w:color="auto"/>
          <w:lang w:eastAsia="zh-CN"/>
        </w:rPr>
        <w:t xml:space="preserve">。              </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lang w:eastAsia="zh-CN"/>
        </w:rPr>
      </w:pPr>
      <w:r>
        <w:rPr>
          <w:rFonts w:hint="eastAsia" w:ascii="宋体" w:hAnsi="宋体"/>
          <w:b w:val="0"/>
          <w:bCs/>
          <w:color w:val="auto"/>
          <w:sz w:val="21"/>
          <w:szCs w:val="21"/>
          <w:highlight w:val="none"/>
          <w:u w:val="none" w:color="auto"/>
          <w:lang w:eastAsia="zh-CN"/>
        </w:rPr>
        <w:t>乙方要按照国家相关法律、法规的规定与作业人员签订劳动合同，对作业人员实施全面用工管理，履行用人单位对劳动者的各种义务。</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lang w:eastAsia="zh-CN"/>
        </w:rPr>
      </w:pPr>
      <w:r>
        <w:rPr>
          <w:rFonts w:hint="eastAsia" w:ascii="宋体" w:hAnsi="宋体"/>
          <w:b w:val="0"/>
          <w:bCs/>
          <w:color w:val="auto"/>
          <w:sz w:val="21"/>
          <w:szCs w:val="21"/>
          <w:highlight w:val="none"/>
          <w:u w:val="none" w:color="auto"/>
          <w:lang w:eastAsia="zh-CN"/>
        </w:rPr>
        <w:t>乙方作业人员的养老保险、医疗保险、工伤保险等所有国家规定应上缴的各类社会保险，均由乙方负责上缴，如有违规，乙方承担相应的法律责任和经济责任。</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lang w:eastAsia="zh-CN"/>
        </w:rPr>
      </w:pPr>
      <w:r>
        <w:rPr>
          <w:rFonts w:hint="eastAsia" w:ascii="宋体" w:hAnsi="宋体"/>
          <w:b w:val="0"/>
          <w:bCs/>
          <w:color w:val="auto"/>
          <w:sz w:val="21"/>
          <w:szCs w:val="21"/>
          <w:highlight w:val="none"/>
          <w:u w:val="none" w:color="auto"/>
          <w:lang w:eastAsia="zh-CN"/>
        </w:rPr>
        <w:t>乙方对其所承包的作业质量应全面负责，并定期接受甲方的监督和考评，定期对作业人员进行综合教育。</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lang w:eastAsia="zh-CN"/>
        </w:rPr>
      </w:pPr>
      <w:r>
        <w:rPr>
          <w:rFonts w:hint="eastAsia" w:ascii="宋体" w:hAnsi="宋体"/>
          <w:b w:val="0"/>
          <w:bCs/>
          <w:color w:val="auto"/>
          <w:sz w:val="21"/>
          <w:szCs w:val="21"/>
          <w:highlight w:val="none"/>
          <w:u w:val="none" w:color="auto"/>
          <w:lang w:eastAsia="zh-CN"/>
        </w:rPr>
        <w:t>乙方必须按照合同约定的作业要求，合理安排作业人员，保证从事作业队伍人员数量、业务能力、工作积极性的稳定，不得影响甲方安排给乙方的日常生产工作。乙方在满足现场生产需要，不影响生产产量情况下可适当调换作业人员，但需在甲方</w:t>
      </w:r>
      <w:r>
        <w:rPr>
          <w:rFonts w:hint="eastAsia" w:ascii="宋体" w:hAnsi="宋体"/>
          <w:b w:val="0"/>
          <w:bCs/>
          <w:color w:val="auto"/>
          <w:sz w:val="21"/>
          <w:szCs w:val="21"/>
          <w:highlight w:val="none"/>
          <w:u w:val="none" w:color="auto"/>
          <w:lang w:val="en-US" w:eastAsia="zh-CN"/>
        </w:rPr>
        <w:t>甘肃润源环境资源科技有限公司榆中分公司</w:t>
      </w:r>
      <w:r>
        <w:rPr>
          <w:rFonts w:hint="eastAsia" w:ascii="宋体" w:hAnsi="宋体"/>
          <w:b w:val="0"/>
          <w:bCs/>
          <w:color w:val="auto"/>
          <w:sz w:val="21"/>
          <w:szCs w:val="21"/>
          <w:highlight w:val="none"/>
          <w:u w:val="none" w:color="auto"/>
          <w:lang w:eastAsia="zh-CN"/>
        </w:rPr>
        <w:t>安全员处备案。</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lang w:eastAsia="zh-CN"/>
        </w:rPr>
      </w:pPr>
      <w:r>
        <w:rPr>
          <w:rFonts w:hint="eastAsia" w:ascii="宋体" w:hAnsi="宋体"/>
          <w:b w:val="0"/>
          <w:bCs/>
          <w:color w:val="auto"/>
          <w:sz w:val="21"/>
          <w:szCs w:val="21"/>
          <w:highlight w:val="none"/>
          <w:u w:val="none" w:color="auto"/>
          <w:lang w:eastAsia="zh-CN"/>
        </w:rPr>
        <w:t>乙方自行提供生产线所需工作人员及作业人员防护用具、劳保用品及工器具。</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lang w:eastAsia="zh-CN"/>
        </w:rPr>
      </w:pPr>
      <w:r>
        <w:rPr>
          <w:rFonts w:hint="eastAsia" w:ascii="宋体" w:hAnsi="宋体"/>
          <w:b w:val="0"/>
          <w:bCs/>
          <w:color w:val="auto"/>
          <w:sz w:val="21"/>
          <w:szCs w:val="21"/>
          <w:highlight w:val="none"/>
          <w:u w:val="none" w:color="auto"/>
          <w:lang w:eastAsia="zh-CN"/>
        </w:rPr>
        <w:t>乙方要按照甲方下达的生产作业量计划组织生产，按质按量完成甲方的生产作业计划。</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lang w:eastAsia="zh-CN"/>
        </w:rPr>
      </w:pPr>
      <w:r>
        <w:rPr>
          <w:rFonts w:hint="eastAsia" w:ascii="宋体" w:hAnsi="宋体"/>
          <w:b w:val="0"/>
          <w:bCs/>
          <w:color w:val="auto"/>
          <w:sz w:val="21"/>
          <w:szCs w:val="21"/>
          <w:highlight w:val="none"/>
          <w:u w:val="none" w:color="auto"/>
          <w:lang w:eastAsia="zh-CN"/>
        </w:rPr>
        <w:t>乙方需按照甲方提出的要求对岗位设备进行保养润滑及设备卫生清理。</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lang w:eastAsia="zh-CN"/>
        </w:rPr>
      </w:pPr>
      <w:r>
        <w:rPr>
          <w:rFonts w:hint="eastAsia" w:ascii="宋体" w:hAnsi="宋体"/>
          <w:b w:val="0"/>
          <w:bCs/>
          <w:color w:val="auto"/>
          <w:sz w:val="21"/>
          <w:szCs w:val="21"/>
          <w:highlight w:val="none"/>
          <w:u w:val="none" w:color="auto"/>
          <w:lang w:eastAsia="zh-CN"/>
        </w:rPr>
        <w:t>乙方要按甲方作业要求，执行交接班制度，并做好相关记录；乙方当班作业人员作业能力，须满足合同规定的作业量，当作业人数不满足作业条件且影响作业量时，甲方有权外聘作业人员，产生的费用由乙方承担。</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lang w:eastAsia="zh-CN"/>
        </w:rPr>
      </w:pPr>
      <w:r>
        <w:rPr>
          <w:rFonts w:hint="eastAsia" w:ascii="宋体" w:hAnsi="宋体"/>
          <w:b w:val="0"/>
          <w:bCs/>
          <w:color w:val="auto"/>
          <w:sz w:val="21"/>
          <w:szCs w:val="21"/>
          <w:highlight w:val="none"/>
          <w:u w:val="none" w:color="auto"/>
          <w:lang w:eastAsia="zh-CN"/>
        </w:rPr>
        <w:t>乙方必须做到现场环境干净整洁，及时清理现场卫生，区域内定置管理必须符合标准要求。</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lang w:eastAsia="zh-CN"/>
        </w:rPr>
      </w:pPr>
      <w:r>
        <w:rPr>
          <w:rFonts w:hint="eastAsia" w:ascii="宋体" w:hAnsi="宋体"/>
          <w:b w:val="0"/>
          <w:bCs/>
          <w:color w:val="auto"/>
          <w:sz w:val="21"/>
          <w:szCs w:val="21"/>
          <w:highlight w:val="none"/>
          <w:u w:val="none" w:color="auto"/>
          <w:lang w:eastAsia="zh-CN"/>
        </w:rPr>
        <w:t>乙方在正常的生产期间每天要不定期的对乙方设备进行巡检，有问题要及时上报、处理并做好巡检记录；每周对作业区域上的所有设备设施提报检修意见上报至</w:t>
      </w:r>
      <w:r>
        <w:rPr>
          <w:rFonts w:hint="eastAsia" w:ascii="宋体" w:hAnsi="宋体"/>
          <w:b w:val="0"/>
          <w:bCs/>
          <w:color w:val="auto"/>
          <w:sz w:val="21"/>
          <w:szCs w:val="21"/>
          <w:highlight w:val="none"/>
          <w:u w:val="none" w:color="auto"/>
          <w:lang w:val="en-US" w:eastAsia="zh-CN"/>
        </w:rPr>
        <w:t xml:space="preserve"> 甘肃润源环境资源科技有限公司榆中分公司</w:t>
      </w:r>
      <w:r>
        <w:rPr>
          <w:rFonts w:hint="eastAsia" w:ascii="宋体" w:hAnsi="宋体"/>
          <w:b w:val="0"/>
          <w:bCs/>
          <w:color w:val="auto"/>
          <w:sz w:val="21"/>
          <w:szCs w:val="21"/>
          <w:highlight w:val="none"/>
          <w:u w:val="none" w:color="auto"/>
          <w:lang w:eastAsia="zh-CN"/>
        </w:rPr>
        <w:t>，做好前期清理、配合工作，并做好记录。</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lang w:eastAsia="zh-CN"/>
        </w:rPr>
      </w:pPr>
      <w:r>
        <w:rPr>
          <w:rFonts w:hint="eastAsia" w:ascii="宋体" w:hAnsi="宋体"/>
          <w:b w:val="0"/>
          <w:bCs/>
          <w:color w:val="auto"/>
          <w:sz w:val="21"/>
          <w:szCs w:val="21"/>
          <w:highlight w:val="none"/>
          <w:u w:val="none" w:color="auto"/>
          <w:lang w:eastAsia="zh-CN"/>
        </w:rPr>
        <w:t>乙方对甲方提供的工具、器具、设备、设施要合理使用，不得违规野蛮操作；因乙方原因造成的损坏或遗失应照价赔偿。</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lang w:eastAsia="zh-CN"/>
        </w:rPr>
      </w:pPr>
      <w:r>
        <w:rPr>
          <w:rFonts w:hint="eastAsia" w:ascii="宋体" w:hAnsi="宋体"/>
          <w:b w:val="0"/>
          <w:bCs/>
          <w:color w:val="auto"/>
          <w:sz w:val="21"/>
          <w:szCs w:val="21"/>
          <w:highlight w:val="none"/>
          <w:u w:val="none" w:color="auto"/>
          <w:lang w:eastAsia="zh-CN"/>
        </w:rPr>
        <w:t>乙方应按相关要求做好职业病预防措施及保障，按规定进行职业病检查。</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lang w:eastAsia="zh-CN"/>
        </w:rPr>
      </w:pPr>
      <w:r>
        <w:rPr>
          <w:rFonts w:hint="eastAsia" w:ascii="宋体" w:hAnsi="宋体"/>
          <w:b w:val="0"/>
          <w:bCs/>
          <w:color w:val="auto"/>
          <w:sz w:val="21"/>
          <w:szCs w:val="21"/>
          <w:highlight w:val="none"/>
          <w:u w:val="none" w:color="auto"/>
          <w:lang w:eastAsia="zh-CN"/>
        </w:rPr>
        <w:t>乙方必须按时发放农民工工资，因乙方拖欠工资造成的经济损失全部由乙方承担。</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rPr>
      </w:pPr>
      <w:r>
        <w:rPr>
          <w:rFonts w:hint="eastAsia" w:ascii="宋体" w:hAnsi="宋体"/>
          <w:b w:val="0"/>
          <w:bCs/>
          <w:color w:val="auto"/>
          <w:sz w:val="21"/>
          <w:szCs w:val="21"/>
          <w:highlight w:val="none"/>
          <w:u w:val="none" w:color="auto"/>
        </w:rPr>
        <w:t>乙方作业期间要廉洁从业、严格执行所承担业务的作业规程、标准和要求，按要求完成所承担的生产作业任务，不得影响榆钢正常生产，如发生乙方原因影响生产或指标的完成情况时，相关损失由乙方承担。</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rPr>
      </w:pPr>
      <w:r>
        <w:rPr>
          <w:rFonts w:hint="eastAsia" w:ascii="宋体" w:hAnsi="宋体"/>
          <w:b w:val="0"/>
          <w:bCs/>
          <w:color w:val="auto"/>
          <w:sz w:val="21"/>
          <w:szCs w:val="21"/>
          <w:highlight w:val="none"/>
          <w:u w:val="none" w:color="auto"/>
        </w:rPr>
        <w:t>乙方必须保证从事的业务能力、工作积极性的稳定，不得影响甲方的日常生产工作。</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rPr>
      </w:pPr>
      <w:r>
        <w:rPr>
          <w:rFonts w:hint="eastAsia" w:ascii="宋体" w:hAnsi="宋体"/>
          <w:b w:val="0"/>
          <w:bCs/>
          <w:color w:val="auto"/>
          <w:sz w:val="21"/>
          <w:szCs w:val="21"/>
          <w:highlight w:val="none"/>
          <w:u w:val="none" w:color="auto"/>
        </w:rPr>
        <w:t>乙方在作业中不得无故损坏甲方提供的工器具和设备，并在日常的作业过程中发现设备隐患或其他异常情况应及时通知甲方。</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rPr>
      </w:pPr>
      <w:r>
        <w:rPr>
          <w:rFonts w:hint="eastAsia" w:ascii="宋体" w:hAnsi="宋体"/>
          <w:b w:val="0"/>
          <w:bCs/>
          <w:color w:val="auto"/>
          <w:sz w:val="21"/>
          <w:szCs w:val="21"/>
          <w:highlight w:val="none"/>
          <w:u w:val="none" w:color="auto"/>
        </w:rPr>
        <w:t>乙方凡在承包期内发生交通违章、盗窃、打架、吸毒等治安、刑事案件的，所造成的后果由乙方全部承担。</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rPr>
      </w:pPr>
      <w:r>
        <w:rPr>
          <w:rFonts w:hint="eastAsia" w:ascii="宋体" w:hAnsi="宋体"/>
          <w:b w:val="0"/>
          <w:bCs/>
          <w:color w:val="auto"/>
          <w:sz w:val="21"/>
          <w:szCs w:val="21"/>
          <w:highlight w:val="none"/>
          <w:u w:val="none" w:color="auto"/>
        </w:rPr>
        <w:t>乙方必须确保废钢、</w:t>
      </w:r>
      <w:r>
        <w:rPr>
          <w:rFonts w:hint="eastAsia" w:ascii="宋体" w:hAnsi="宋体"/>
          <w:b w:val="0"/>
          <w:bCs/>
          <w:color w:val="auto"/>
          <w:sz w:val="21"/>
          <w:szCs w:val="21"/>
          <w:highlight w:val="none"/>
          <w:u w:val="none" w:color="auto"/>
          <w:lang w:val="en-US" w:eastAsia="zh-CN"/>
        </w:rPr>
        <w:t>尾</w:t>
      </w:r>
      <w:r>
        <w:rPr>
          <w:rFonts w:hint="eastAsia" w:ascii="宋体" w:hAnsi="宋体"/>
          <w:b w:val="0"/>
          <w:bCs/>
          <w:color w:val="auto"/>
          <w:sz w:val="21"/>
          <w:szCs w:val="21"/>
          <w:highlight w:val="none"/>
          <w:u w:val="none" w:color="auto"/>
        </w:rPr>
        <w:t>渣及时外运所需的车辆，如运力不足或者堆放不符合环保要求造成渣跨堵塞、环保事件，由乙方承担全部责任。</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rPr>
      </w:pPr>
      <w:r>
        <w:rPr>
          <w:rFonts w:hint="eastAsia" w:ascii="宋体" w:hAnsi="宋体"/>
          <w:b w:val="0"/>
          <w:bCs/>
          <w:color w:val="auto"/>
          <w:sz w:val="21"/>
          <w:szCs w:val="21"/>
          <w:highlight w:val="none"/>
          <w:u w:val="none" w:color="auto"/>
        </w:rPr>
        <w:t>乙方根据甲方作业计划确保注余渣盘、转炉渣罐及时供应，保证炼钢正常生产。</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rPr>
      </w:pPr>
      <w:r>
        <w:rPr>
          <w:rFonts w:hint="eastAsia" w:ascii="宋体" w:hAnsi="宋体"/>
          <w:b w:val="0"/>
          <w:bCs/>
          <w:color w:val="auto"/>
          <w:sz w:val="21"/>
          <w:szCs w:val="21"/>
          <w:highlight w:val="none"/>
          <w:u w:val="none" w:color="auto"/>
        </w:rPr>
        <w:t>乙方负责承包业务范围内设备、设施的正确使用。乙方由于操作等原因造成甲方设备设施损坏，乙方必须按照相关规定照价赔偿及接受考核。</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eastAsia="宋体" w:cs="宋体"/>
          <w:b w:val="0"/>
          <w:bCs/>
          <w:color w:val="auto"/>
          <w:szCs w:val="21"/>
          <w:highlight w:val="none"/>
          <w:u w:val="none" w:color="auto"/>
        </w:rPr>
      </w:pPr>
      <w:r>
        <w:rPr>
          <w:rFonts w:hint="eastAsia" w:ascii="宋体" w:hAnsi="宋体"/>
          <w:b w:val="0"/>
          <w:bCs/>
          <w:color w:val="auto"/>
          <w:sz w:val="21"/>
          <w:szCs w:val="21"/>
          <w:highlight w:val="none"/>
          <w:u w:val="none" w:color="auto"/>
        </w:rPr>
        <w:t>乙方负责承包业务范围内注余渣盘、转炉渣罐、渣车车体、钢包车车体、200t过跨车清理，在清理过程中不得损坏车辆的原有防护设施，并进行车体铺砖、垫料，注余渣盘、转炉渣罐更换、周转。</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eastAsia="宋体" w:cs="宋体"/>
          <w:b w:val="0"/>
          <w:bCs/>
          <w:color w:val="auto"/>
          <w:szCs w:val="21"/>
          <w:highlight w:val="none"/>
          <w:u w:val="none" w:color="auto"/>
        </w:rPr>
      </w:pPr>
      <w:r>
        <w:rPr>
          <w:rFonts w:hint="eastAsia" w:ascii="宋体" w:hAnsi="宋体"/>
          <w:b w:val="0"/>
          <w:bCs/>
          <w:color w:val="auto"/>
          <w:sz w:val="21"/>
          <w:szCs w:val="21"/>
          <w:highlight w:val="none"/>
          <w:u w:val="none" w:color="auto"/>
        </w:rPr>
        <w:t>乙方有义务按照甲方要求创新管理，促进榆钢炼钢作业区生产能力的发挥，降低成本。</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rPr>
      </w:pPr>
      <w:r>
        <w:rPr>
          <w:rFonts w:hint="eastAsia" w:ascii="宋体" w:hAnsi="宋体"/>
          <w:b w:val="0"/>
          <w:bCs/>
          <w:color w:val="auto"/>
          <w:sz w:val="21"/>
          <w:szCs w:val="21"/>
          <w:highlight w:val="none"/>
          <w:u w:val="none" w:color="auto"/>
        </w:rPr>
        <w:t>乙方在5分钟内将运至炉渣跨的注余渣盘、转炉渣罐吊下，并配上符合标准的空注余渣盘、转炉渣罐，必须保证生产顺行，不得影响榆钢生产。</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rPr>
      </w:pPr>
      <w:r>
        <w:rPr>
          <w:rFonts w:hint="eastAsia" w:ascii="宋体" w:hAnsi="宋体"/>
          <w:b w:val="0"/>
          <w:bCs/>
          <w:color w:val="auto"/>
          <w:sz w:val="21"/>
          <w:szCs w:val="21"/>
          <w:highlight w:val="none"/>
          <w:u w:val="none" w:color="auto"/>
        </w:rPr>
        <w:t>乙方处理完毕渣盘后，在底部垫1</w:t>
      </w:r>
      <w:r>
        <w:rPr>
          <w:rFonts w:hint="eastAsia" w:ascii="宋体" w:hAnsi="宋体"/>
          <w:b w:val="0"/>
          <w:bCs/>
          <w:color w:val="auto"/>
          <w:sz w:val="21"/>
          <w:szCs w:val="21"/>
          <w:highlight w:val="none"/>
          <w:u w:val="none" w:color="auto"/>
          <w:lang w:val="en-US" w:eastAsia="zh-CN"/>
        </w:rPr>
        <w:t>5</w:t>
      </w:r>
      <w:r>
        <w:rPr>
          <w:rFonts w:hint="eastAsia" w:ascii="宋体" w:hAnsi="宋体"/>
          <w:b w:val="0"/>
          <w:bCs/>
          <w:color w:val="auto"/>
          <w:sz w:val="21"/>
          <w:szCs w:val="21"/>
          <w:highlight w:val="none"/>
          <w:u w:val="none" w:color="auto"/>
        </w:rPr>
        <w:t>cm厚的沙子，再将泥浆溜缝砌砖，禁止渣盘中带有积水和稀泥浆, 渣盘底部变形时，先使用渣料找平后砌砖，垫少量渣使用。注余渣盘、转炉渣罐清理完毕后，必须检查注余渣盘、转炉渣罐有无缺陷，如不符合标准及时上报甲方。对渣盘、渣罐建立周转更换使用</w:t>
      </w:r>
      <w:r>
        <w:rPr>
          <w:rFonts w:hint="eastAsia" w:ascii="宋体" w:hAnsi="宋体"/>
          <w:b w:val="0"/>
          <w:bCs/>
          <w:color w:val="auto"/>
          <w:sz w:val="21"/>
          <w:szCs w:val="21"/>
          <w:highlight w:val="none"/>
          <w:u w:val="none" w:color="auto"/>
          <w:lang w:val="en-US" w:eastAsia="zh-CN"/>
        </w:rPr>
        <w:t xml:space="preserve"> </w:t>
      </w:r>
      <w:r>
        <w:rPr>
          <w:rFonts w:hint="eastAsia" w:ascii="宋体" w:hAnsi="宋体"/>
          <w:b w:val="0"/>
          <w:bCs/>
          <w:color w:val="auto"/>
          <w:sz w:val="21"/>
          <w:szCs w:val="21"/>
          <w:highlight w:val="none"/>
          <w:u w:val="none" w:color="auto"/>
        </w:rPr>
        <w:t>记录台账，每月结算费用前3天内提供甲方。</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rPr>
      </w:pPr>
      <w:r>
        <w:rPr>
          <w:rFonts w:hint="eastAsia" w:ascii="宋体" w:hAnsi="宋体"/>
          <w:b w:val="0"/>
          <w:bCs/>
          <w:color w:val="auto"/>
          <w:sz w:val="21"/>
          <w:szCs w:val="21"/>
          <w:highlight w:val="none"/>
          <w:u w:val="none" w:color="auto"/>
        </w:rPr>
        <w:t>乙方在接到甲方炉下积渣清理的通知时，必须在5min内及时组织人员及油铲、挖机到位，服从甲方操作人员指挥，确保清理不影响生产。</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rPr>
      </w:pPr>
      <w:r>
        <w:rPr>
          <w:rFonts w:hint="eastAsia" w:ascii="宋体" w:hAnsi="宋体"/>
          <w:b w:val="0"/>
          <w:bCs/>
          <w:color w:val="auto"/>
          <w:sz w:val="21"/>
          <w:szCs w:val="21"/>
          <w:highlight w:val="none"/>
          <w:u w:val="none" w:color="auto"/>
        </w:rPr>
        <w:t>乙方装卸注余渣盘、转炉渣罐必须坐正、坐稳，确保渣罐在线运行安全。</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rPr>
      </w:pPr>
      <w:r>
        <w:rPr>
          <w:rFonts w:hint="eastAsia" w:ascii="宋体" w:hAnsi="宋体"/>
          <w:b w:val="0"/>
          <w:bCs/>
          <w:color w:val="auto"/>
          <w:sz w:val="21"/>
          <w:szCs w:val="21"/>
          <w:highlight w:val="none"/>
          <w:u w:val="none" w:color="auto"/>
        </w:rPr>
        <w:t>乙方工程机械驾驶室上部必须加设防护钢板，确保清理时驾驶人员的安全。乙方在甲方区域从事具体工作的人员必须严格执行甲方的各项管理制度和作业程序，对于甲方提出的整改要求应如期完成。</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rPr>
      </w:pPr>
      <w:r>
        <w:rPr>
          <w:rFonts w:hint="eastAsia" w:ascii="宋体" w:hAnsi="宋体"/>
          <w:b w:val="0"/>
          <w:bCs/>
          <w:color w:val="auto"/>
          <w:sz w:val="21"/>
          <w:szCs w:val="21"/>
          <w:highlight w:val="none"/>
          <w:u w:val="none" w:color="auto"/>
        </w:rPr>
        <w:t>乙方必须保证废渣和尾渣及时装车，不得影响废渣拉运。乙方对承包业务范围内的所有废钢和渣钢进行回收，及时按生产需要倒运到甲方指定地方，不得出现废钢及渣钢混入炉渣外发。</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rPr>
      </w:pPr>
      <w:r>
        <w:rPr>
          <w:rFonts w:hint="eastAsia" w:ascii="宋体" w:hAnsi="宋体"/>
          <w:b w:val="0"/>
          <w:bCs/>
          <w:color w:val="auto"/>
          <w:sz w:val="21"/>
          <w:szCs w:val="21"/>
          <w:highlight w:val="none"/>
          <w:u w:val="none" w:color="auto"/>
        </w:rPr>
        <w:t>乙方保证每天砌筑足够的渣盘，确保炼钢的正常生产。</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rPr>
      </w:pPr>
      <w:r>
        <w:rPr>
          <w:rFonts w:hint="eastAsia" w:ascii="宋体" w:hAnsi="宋体"/>
          <w:b w:val="0"/>
          <w:bCs/>
          <w:color w:val="auto"/>
          <w:sz w:val="21"/>
          <w:szCs w:val="21"/>
          <w:highlight w:val="none"/>
          <w:u w:val="none" w:color="auto"/>
        </w:rPr>
        <w:t>乙方必须听从甲方炼钢调度室交给的一切保产任务及抢修工作。</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rPr>
      </w:pPr>
      <w:r>
        <w:rPr>
          <w:rFonts w:hint="eastAsia" w:ascii="宋体" w:hAnsi="宋体"/>
          <w:b w:val="0"/>
          <w:bCs/>
          <w:color w:val="auto"/>
          <w:sz w:val="21"/>
          <w:szCs w:val="21"/>
          <w:highlight w:val="none"/>
          <w:u w:val="none" w:color="auto"/>
          <w:lang w:val="en-US" w:eastAsia="zh-CN"/>
        </w:rPr>
        <w:t>乙方负责将甲方无法处理的大块废钢拉运至指定位置进行加工处理。</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rPr>
      </w:pPr>
      <w:r>
        <w:rPr>
          <w:rFonts w:hint="eastAsia" w:ascii="宋体" w:hAnsi="宋体"/>
          <w:b w:val="0"/>
          <w:bCs/>
          <w:color w:val="auto"/>
          <w:sz w:val="21"/>
          <w:szCs w:val="21"/>
          <w:highlight w:val="none"/>
          <w:u w:val="none" w:color="auto"/>
          <w:lang w:val="en-US" w:eastAsia="zh-CN"/>
        </w:rPr>
        <w:t>乙方必须保证足够车辆和人员及时将炉下废渣清理，确保甲方正常生产。</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rPr>
      </w:pPr>
      <w:r>
        <w:rPr>
          <w:rFonts w:hint="eastAsia" w:ascii="宋体" w:hAnsi="宋体"/>
          <w:b w:val="0"/>
          <w:bCs/>
          <w:color w:val="auto"/>
          <w:sz w:val="21"/>
          <w:szCs w:val="21"/>
          <w:highlight w:val="none"/>
          <w:u w:val="none" w:color="auto"/>
          <w:lang w:val="en-US" w:eastAsia="zh-CN"/>
        </w:rPr>
        <w:t>乙方必须保证3台以上装载机、2台挖掘机和1台拖板车和钢渣、钢铁料、尾渣运输车辆，以及其他满足渣跨生产所需的各种工机具。</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rPr>
      </w:pPr>
      <w:r>
        <w:rPr>
          <w:rFonts w:hint="eastAsia" w:ascii="宋体" w:hAnsi="宋体"/>
          <w:b w:val="0"/>
          <w:bCs/>
          <w:color w:val="auto"/>
          <w:sz w:val="21"/>
          <w:szCs w:val="21"/>
          <w:highlight w:val="none"/>
          <w:u w:val="none" w:color="auto"/>
          <w:lang w:val="en-US" w:eastAsia="zh-CN"/>
        </w:rPr>
        <w:t>乙方及时将转炉钢渣进行热焖处理，每日保证焖坑周转正常，热焖后的钢渣及时在粒铁线加工处理，每日产出的钢铁料全部及时回供，尾渣运输出厂，不得在现场堆积。</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lang w:val="en-US" w:eastAsia="zh-CN"/>
        </w:rPr>
      </w:pPr>
      <w:r>
        <w:rPr>
          <w:rFonts w:hint="eastAsia" w:ascii="宋体" w:hAnsi="宋体"/>
          <w:b w:val="0"/>
          <w:bCs/>
          <w:color w:val="auto"/>
          <w:sz w:val="21"/>
          <w:szCs w:val="21"/>
          <w:highlight w:val="none"/>
          <w:u w:val="none" w:color="auto"/>
        </w:rPr>
        <w:t>乙方加工处理完的各类钢铁料、废钢尺寸必须符合甲方炼钢作业区质量标准、验收标准要求。</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lang w:val="en-US" w:eastAsia="zh-CN"/>
        </w:rPr>
      </w:pPr>
      <w:r>
        <w:rPr>
          <w:rFonts w:hint="eastAsia" w:ascii="宋体" w:hAnsi="宋体"/>
          <w:b w:val="0"/>
          <w:bCs/>
          <w:color w:val="auto"/>
          <w:sz w:val="21"/>
          <w:szCs w:val="21"/>
          <w:highlight w:val="none"/>
          <w:u w:val="none" w:color="auto"/>
          <w:lang w:val="en-US" w:eastAsia="zh-CN"/>
        </w:rPr>
        <w:t>乙方操作的炉下渣车，要服从甲方炉前工的生产指令，保证车辆的正常运行。</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lang w:val="en-US" w:eastAsia="zh-CN"/>
        </w:rPr>
      </w:pPr>
      <w:r>
        <w:rPr>
          <w:rFonts w:hint="eastAsia" w:ascii="宋体" w:hAnsi="宋体"/>
          <w:b w:val="0"/>
          <w:bCs/>
          <w:color w:val="auto"/>
          <w:sz w:val="21"/>
          <w:szCs w:val="21"/>
          <w:highlight w:val="none"/>
          <w:u w:val="none" w:color="auto"/>
          <w:lang w:val="en-US" w:eastAsia="zh-CN"/>
        </w:rPr>
        <w:t>乙方必须按甲方指定的地点和原料对象进行加工作业，如特殊情况需要变更时，需与甲方进行协商。不得私自进行处理。</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lang w:val="en-US" w:eastAsia="zh-CN"/>
        </w:rPr>
      </w:pPr>
      <w:r>
        <w:rPr>
          <w:rFonts w:hint="eastAsia" w:ascii="宋体" w:hAnsi="宋体"/>
          <w:b w:val="0"/>
          <w:bCs/>
          <w:color w:val="auto"/>
          <w:sz w:val="21"/>
          <w:szCs w:val="21"/>
          <w:highlight w:val="none"/>
          <w:u w:val="none" w:color="auto"/>
          <w:lang w:val="en-US" w:eastAsia="zh-CN"/>
        </w:rPr>
        <w:t>乙方负责配备现场管理人员7人（管理人员中负责人及安全员必须由乙方主体单位提供）、粒铁线人员15人、渣跨区域18人、渣盘区域12人、司机26人、一期4人、停车场挖机铲斗修复1人、废钢池切割2人</w:t>
      </w:r>
      <w:bookmarkStart w:id="0" w:name="_GoBack"/>
      <w:bookmarkEnd w:id="0"/>
      <w:r>
        <w:rPr>
          <w:rFonts w:hint="eastAsia" w:ascii="宋体" w:hAnsi="宋体"/>
          <w:b w:val="0"/>
          <w:bCs/>
          <w:color w:val="auto"/>
          <w:sz w:val="21"/>
          <w:szCs w:val="21"/>
          <w:highlight w:val="none"/>
          <w:u w:val="none" w:color="auto"/>
          <w:lang w:val="en-US" w:eastAsia="zh-CN"/>
        </w:rPr>
        <w:t>，合计85人，符合要求的劳务岗位不低于59人（若不满足现场需要，无条件增加，详见附表1）。乙方入厂前购买企业生产责任险，劳务人员上岗前必须购买工伤保险，保额不得低于100万元/人，人员上岗前必须出具近1个月内当地县级及以上医院体检报告。乙方必须按照甲方及榆钢公司要求发放专业劳动防护用品。乙方司机必须持驾驶、操作证；天车工、指车工、切割工必须持特种作业证。</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809"/>
        <w:gridCol w:w="1234"/>
        <w:gridCol w:w="1021"/>
        <w:gridCol w:w="1017"/>
        <w:gridCol w:w="800"/>
        <w:gridCol w:w="3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000" w:type="pct"/>
            <w:gridSpan w:val="7"/>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color="auto"/>
              </w:rPr>
            </w:pPr>
            <w:r>
              <w:rPr>
                <w:rFonts w:hint="eastAsia" w:asciiTheme="minorEastAsia" w:hAnsiTheme="minorEastAsia" w:eastAsiaTheme="minorEastAsia" w:cstheme="minorEastAsia"/>
                <w:b/>
                <w:bCs/>
                <w:i w:val="0"/>
                <w:iCs w:val="0"/>
                <w:color w:val="000000"/>
                <w:kern w:val="0"/>
                <w:sz w:val="21"/>
                <w:szCs w:val="21"/>
                <w:u w:val="none" w:color="auto"/>
                <w:lang w:val="en-US" w:eastAsia="zh-CN" w:bidi="ar"/>
              </w:rPr>
              <w:t>表1：榆钢保产人员配备明细表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5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color="auto"/>
              </w:rPr>
            </w:pPr>
            <w:r>
              <w:rPr>
                <w:rFonts w:hint="eastAsia" w:asciiTheme="minorEastAsia" w:hAnsiTheme="minorEastAsia" w:eastAsiaTheme="minorEastAsia" w:cstheme="minorEastAsia"/>
                <w:b/>
                <w:bCs/>
                <w:i w:val="0"/>
                <w:iCs w:val="0"/>
                <w:color w:val="000000"/>
                <w:kern w:val="0"/>
                <w:sz w:val="21"/>
                <w:szCs w:val="21"/>
                <w:u w:val="none" w:color="auto"/>
                <w:lang w:val="en-US" w:eastAsia="zh-CN" w:bidi="ar"/>
              </w:rPr>
              <w:t>序号</w:t>
            </w:r>
          </w:p>
        </w:tc>
        <w:tc>
          <w:tcPr>
            <w:tcW w:w="474"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color="auto"/>
              </w:rPr>
            </w:pPr>
            <w:r>
              <w:rPr>
                <w:rFonts w:hint="eastAsia" w:asciiTheme="minorEastAsia" w:hAnsiTheme="minorEastAsia" w:eastAsiaTheme="minorEastAsia" w:cstheme="minorEastAsia"/>
                <w:b/>
                <w:bCs/>
                <w:i w:val="0"/>
                <w:iCs w:val="0"/>
                <w:color w:val="000000"/>
                <w:kern w:val="0"/>
                <w:sz w:val="21"/>
                <w:szCs w:val="21"/>
                <w:u w:val="none" w:color="auto"/>
                <w:lang w:val="en-US" w:eastAsia="zh-CN" w:bidi="ar"/>
              </w:rPr>
              <w:t>区域</w:t>
            </w:r>
          </w:p>
        </w:tc>
        <w:tc>
          <w:tcPr>
            <w:tcW w:w="724"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color="auto"/>
              </w:rPr>
            </w:pPr>
            <w:r>
              <w:rPr>
                <w:rFonts w:hint="eastAsia" w:asciiTheme="minorEastAsia" w:hAnsiTheme="minorEastAsia" w:eastAsiaTheme="minorEastAsia" w:cstheme="minorEastAsia"/>
                <w:b/>
                <w:bCs/>
                <w:i w:val="0"/>
                <w:iCs w:val="0"/>
                <w:color w:val="000000"/>
                <w:kern w:val="0"/>
                <w:sz w:val="21"/>
                <w:szCs w:val="21"/>
                <w:u w:val="none" w:color="auto"/>
                <w:lang w:val="en-US" w:eastAsia="zh-CN" w:bidi="ar"/>
              </w:rPr>
              <w:t>工种</w:t>
            </w:r>
          </w:p>
        </w:tc>
        <w:tc>
          <w:tcPr>
            <w:tcW w:w="59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color="auto"/>
              </w:rPr>
            </w:pPr>
            <w:r>
              <w:rPr>
                <w:rFonts w:hint="eastAsia" w:asciiTheme="minorEastAsia" w:hAnsiTheme="minorEastAsia" w:eastAsiaTheme="minorEastAsia" w:cstheme="minorEastAsia"/>
                <w:b/>
                <w:bCs/>
                <w:i w:val="0"/>
                <w:iCs w:val="0"/>
                <w:color w:val="000000"/>
                <w:kern w:val="0"/>
                <w:sz w:val="21"/>
                <w:szCs w:val="21"/>
                <w:u w:val="none" w:color="auto"/>
                <w:lang w:val="en-US" w:eastAsia="zh-CN" w:bidi="ar"/>
              </w:rPr>
              <w:t>单班人数</w:t>
            </w:r>
          </w:p>
        </w:tc>
        <w:tc>
          <w:tcPr>
            <w:tcW w:w="59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color="auto"/>
              </w:rPr>
            </w:pPr>
            <w:r>
              <w:rPr>
                <w:rFonts w:hint="eastAsia" w:asciiTheme="minorEastAsia" w:hAnsiTheme="minorEastAsia" w:eastAsiaTheme="minorEastAsia" w:cstheme="minorEastAsia"/>
                <w:b/>
                <w:bCs/>
                <w:i w:val="0"/>
                <w:iCs w:val="0"/>
                <w:color w:val="000000"/>
                <w:kern w:val="0"/>
                <w:sz w:val="21"/>
                <w:szCs w:val="21"/>
                <w:u w:val="none" w:color="auto"/>
                <w:lang w:val="en-US" w:eastAsia="zh-CN" w:bidi="ar"/>
              </w:rPr>
              <w:t>班制</w:t>
            </w:r>
          </w:p>
        </w:tc>
        <w:tc>
          <w:tcPr>
            <w:tcW w:w="46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color="auto"/>
              </w:rPr>
            </w:pPr>
            <w:r>
              <w:rPr>
                <w:rFonts w:hint="eastAsia" w:asciiTheme="minorEastAsia" w:hAnsiTheme="minorEastAsia" w:eastAsiaTheme="minorEastAsia" w:cstheme="minorEastAsia"/>
                <w:b/>
                <w:bCs/>
                <w:i w:val="0"/>
                <w:iCs w:val="0"/>
                <w:color w:val="000000"/>
                <w:kern w:val="0"/>
                <w:sz w:val="21"/>
                <w:szCs w:val="21"/>
                <w:u w:val="none" w:color="auto"/>
                <w:lang w:val="en-US" w:eastAsia="zh-CN" w:bidi="ar"/>
              </w:rPr>
              <w:t>小计</w:t>
            </w:r>
          </w:p>
        </w:tc>
        <w:tc>
          <w:tcPr>
            <w:tcW w:w="177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color="auto"/>
              </w:rPr>
            </w:pPr>
            <w:r>
              <w:rPr>
                <w:rFonts w:hint="eastAsia" w:asciiTheme="minorEastAsia" w:hAnsiTheme="minorEastAsia" w:eastAsiaTheme="minorEastAsia" w:cstheme="minorEastAsia"/>
                <w:b/>
                <w:bCs/>
                <w:i w:val="0"/>
                <w:iCs w:val="0"/>
                <w:color w:val="000000"/>
                <w:kern w:val="0"/>
                <w:sz w:val="21"/>
                <w:szCs w:val="21"/>
                <w:u w:val="none" w:color="auto"/>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35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1</w:t>
            </w:r>
          </w:p>
        </w:tc>
        <w:tc>
          <w:tcPr>
            <w:tcW w:w="474" w:type="pct"/>
            <w:vMerge w:val="restar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管理</w:t>
            </w:r>
          </w:p>
        </w:tc>
        <w:tc>
          <w:tcPr>
            <w:tcW w:w="724"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负责人</w:t>
            </w:r>
          </w:p>
        </w:tc>
        <w:tc>
          <w:tcPr>
            <w:tcW w:w="59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2</w:t>
            </w:r>
          </w:p>
        </w:tc>
        <w:tc>
          <w:tcPr>
            <w:tcW w:w="59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长白班</w:t>
            </w:r>
          </w:p>
        </w:tc>
        <w:tc>
          <w:tcPr>
            <w:tcW w:w="46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2</w:t>
            </w:r>
          </w:p>
        </w:tc>
        <w:tc>
          <w:tcPr>
            <w:tcW w:w="1779" w:type="pct"/>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持有安全管理资格证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2</w:t>
            </w:r>
          </w:p>
        </w:tc>
        <w:tc>
          <w:tcPr>
            <w:tcW w:w="474" w:type="pct"/>
            <w:vMerge w:val="continue"/>
            <w:noWrap/>
            <w:vAlign w:val="center"/>
          </w:tcPr>
          <w:p>
            <w:pPr>
              <w:jc w:val="center"/>
              <w:rPr>
                <w:rFonts w:hint="eastAsia" w:asciiTheme="minorEastAsia" w:hAnsiTheme="minorEastAsia" w:eastAsiaTheme="minorEastAsia" w:cstheme="minorEastAsia"/>
                <w:i w:val="0"/>
                <w:iCs w:val="0"/>
                <w:color w:val="000000"/>
                <w:sz w:val="21"/>
                <w:szCs w:val="21"/>
                <w:u w:val="none" w:color="auto"/>
              </w:rPr>
            </w:pPr>
          </w:p>
        </w:tc>
        <w:tc>
          <w:tcPr>
            <w:tcW w:w="724"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安全员</w:t>
            </w:r>
          </w:p>
        </w:tc>
        <w:tc>
          <w:tcPr>
            <w:tcW w:w="59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1</w:t>
            </w:r>
          </w:p>
        </w:tc>
        <w:tc>
          <w:tcPr>
            <w:tcW w:w="59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长白班</w:t>
            </w:r>
          </w:p>
        </w:tc>
        <w:tc>
          <w:tcPr>
            <w:tcW w:w="46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1</w:t>
            </w:r>
          </w:p>
        </w:tc>
        <w:tc>
          <w:tcPr>
            <w:tcW w:w="177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持有安全管理资格证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3</w:t>
            </w:r>
          </w:p>
        </w:tc>
        <w:tc>
          <w:tcPr>
            <w:tcW w:w="474" w:type="pct"/>
            <w:vMerge w:val="continue"/>
            <w:noWrap/>
            <w:vAlign w:val="center"/>
          </w:tcPr>
          <w:p>
            <w:pPr>
              <w:jc w:val="center"/>
              <w:rPr>
                <w:rFonts w:hint="eastAsia" w:asciiTheme="minorEastAsia" w:hAnsiTheme="minorEastAsia" w:eastAsiaTheme="minorEastAsia" w:cstheme="minorEastAsia"/>
                <w:i w:val="0"/>
                <w:iCs w:val="0"/>
                <w:color w:val="000000"/>
                <w:sz w:val="21"/>
                <w:szCs w:val="21"/>
                <w:u w:val="none" w:color="auto"/>
              </w:rPr>
            </w:pPr>
          </w:p>
        </w:tc>
        <w:tc>
          <w:tcPr>
            <w:tcW w:w="724"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综合员</w:t>
            </w:r>
          </w:p>
        </w:tc>
        <w:tc>
          <w:tcPr>
            <w:tcW w:w="59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1</w:t>
            </w:r>
          </w:p>
        </w:tc>
        <w:tc>
          <w:tcPr>
            <w:tcW w:w="59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长白班</w:t>
            </w:r>
          </w:p>
        </w:tc>
        <w:tc>
          <w:tcPr>
            <w:tcW w:w="46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1</w:t>
            </w:r>
          </w:p>
        </w:tc>
        <w:tc>
          <w:tcPr>
            <w:tcW w:w="1779" w:type="pct"/>
            <w:noWrap/>
            <w:vAlign w:val="center"/>
          </w:tcPr>
          <w:p>
            <w:pPr>
              <w:jc w:val="center"/>
              <w:rPr>
                <w:rFonts w:hint="eastAsia" w:asciiTheme="minorEastAsia" w:hAnsiTheme="minorEastAsia" w:eastAsiaTheme="minorEastAsia" w:cstheme="minorEastAsia"/>
                <w:i w:val="0"/>
                <w:iCs w:val="0"/>
                <w:color w:val="000000"/>
                <w:sz w:val="21"/>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4</w:t>
            </w:r>
          </w:p>
        </w:tc>
        <w:tc>
          <w:tcPr>
            <w:tcW w:w="474" w:type="pct"/>
            <w:vMerge w:val="continue"/>
            <w:noWrap/>
            <w:vAlign w:val="center"/>
          </w:tcPr>
          <w:p>
            <w:pPr>
              <w:jc w:val="center"/>
              <w:rPr>
                <w:rFonts w:hint="eastAsia" w:asciiTheme="minorEastAsia" w:hAnsiTheme="minorEastAsia" w:eastAsiaTheme="minorEastAsia" w:cstheme="minorEastAsia"/>
                <w:i w:val="0"/>
                <w:iCs w:val="0"/>
                <w:color w:val="000000"/>
                <w:sz w:val="21"/>
                <w:szCs w:val="21"/>
                <w:u w:val="none" w:color="auto"/>
              </w:rPr>
            </w:pPr>
          </w:p>
        </w:tc>
        <w:tc>
          <w:tcPr>
            <w:tcW w:w="724"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班长</w:t>
            </w:r>
          </w:p>
        </w:tc>
        <w:tc>
          <w:tcPr>
            <w:tcW w:w="59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1</w:t>
            </w:r>
          </w:p>
        </w:tc>
        <w:tc>
          <w:tcPr>
            <w:tcW w:w="59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三班</w:t>
            </w:r>
          </w:p>
        </w:tc>
        <w:tc>
          <w:tcPr>
            <w:tcW w:w="46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3</w:t>
            </w:r>
          </w:p>
        </w:tc>
        <w:tc>
          <w:tcPr>
            <w:tcW w:w="1779" w:type="pct"/>
            <w:noWrap/>
            <w:vAlign w:val="center"/>
          </w:tcPr>
          <w:p>
            <w:pPr>
              <w:jc w:val="center"/>
              <w:rPr>
                <w:rFonts w:hint="eastAsia" w:asciiTheme="minorEastAsia" w:hAnsiTheme="minorEastAsia" w:eastAsiaTheme="minorEastAsia" w:cstheme="minorEastAsia"/>
                <w:i w:val="0"/>
                <w:iCs w:val="0"/>
                <w:color w:val="000000"/>
                <w:sz w:val="21"/>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5</w:t>
            </w:r>
          </w:p>
        </w:tc>
        <w:tc>
          <w:tcPr>
            <w:tcW w:w="474"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粒铁线</w:t>
            </w:r>
          </w:p>
        </w:tc>
        <w:tc>
          <w:tcPr>
            <w:tcW w:w="724"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皮带工</w:t>
            </w:r>
          </w:p>
        </w:tc>
        <w:tc>
          <w:tcPr>
            <w:tcW w:w="59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5</w:t>
            </w:r>
          </w:p>
        </w:tc>
        <w:tc>
          <w:tcPr>
            <w:tcW w:w="59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三班</w:t>
            </w:r>
          </w:p>
        </w:tc>
        <w:tc>
          <w:tcPr>
            <w:tcW w:w="46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15</w:t>
            </w:r>
          </w:p>
        </w:tc>
        <w:tc>
          <w:tcPr>
            <w:tcW w:w="1779" w:type="pct"/>
            <w:noWrap/>
            <w:vAlign w:val="center"/>
          </w:tcPr>
          <w:p>
            <w:pPr>
              <w:jc w:val="center"/>
              <w:rPr>
                <w:rFonts w:hint="eastAsia" w:asciiTheme="minorEastAsia" w:hAnsiTheme="minorEastAsia" w:eastAsiaTheme="minorEastAsia" w:cstheme="minorEastAsia"/>
                <w:i w:val="0"/>
                <w:iCs w:val="0"/>
                <w:color w:val="000000"/>
                <w:sz w:val="21"/>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6</w:t>
            </w:r>
          </w:p>
        </w:tc>
        <w:tc>
          <w:tcPr>
            <w:tcW w:w="474" w:type="pct"/>
            <w:vMerge w:val="restar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渣跨区</w:t>
            </w:r>
          </w:p>
        </w:tc>
        <w:tc>
          <w:tcPr>
            <w:tcW w:w="724"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打水工</w:t>
            </w:r>
          </w:p>
        </w:tc>
        <w:tc>
          <w:tcPr>
            <w:tcW w:w="59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2</w:t>
            </w:r>
          </w:p>
        </w:tc>
        <w:tc>
          <w:tcPr>
            <w:tcW w:w="59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三班</w:t>
            </w:r>
          </w:p>
        </w:tc>
        <w:tc>
          <w:tcPr>
            <w:tcW w:w="46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6</w:t>
            </w:r>
          </w:p>
        </w:tc>
        <w:tc>
          <w:tcPr>
            <w:tcW w:w="1779" w:type="pct"/>
            <w:noWrap/>
            <w:vAlign w:val="center"/>
          </w:tcPr>
          <w:p>
            <w:pPr>
              <w:jc w:val="center"/>
              <w:rPr>
                <w:rFonts w:hint="eastAsia" w:asciiTheme="minorEastAsia" w:hAnsiTheme="minorEastAsia" w:eastAsiaTheme="minorEastAsia" w:cstheme="minorEastAsia"/>
                <w:i w:val="0"/>
                <w:iCs w:val="0"/>
                <w:color w:val="000000"/>
                <w:sz w:val="21"/>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7</w:t>
            </w:r>
          </w:p>
        </w:tc>
        <w:tc>
          <w:tcPr>
            <w:tcW w:w="474" w:type="pct"/>
            <w:vMerge w:val="continue"/>
            <w:noWrap/>
            <w:vAlign w:val="center"/>
          </w:tcPr>
          <w:p>
            <w:pPr>
              <w:jc w:val="center"/>
              <w:rPr>
                <w:rFonts w:hint="eastAsia" w:asciiTheme="minorEastAsia" w:hAnsiTheme="minorEastAsia" w:eastAsiaTheme="minorEastAsia" w:cstheme="minorEastAsia"/>
                <w:i w:val="0"/>
                <w:iCs w:val="0"/>
                <w:color w:val="000000"/>
                <w:sz w:val="21"/>
                <w:szCs w:val="21"/>
                <w:u w:val="none" w:color="auto"/>
              </w:rPr>
            </w:pPr>
          </w:p>
        </w:tc>
        <w:tc>
          <w:tcPr>
            <w:tcW w:w="724"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泵工</w:t>
            </w:r>
          </w:p>
        </w:tc>
        <w:tc>
          <w:tcPr>
            <w:tcW w:w="59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1</w:t>
            </w:r>
          </w:p>
        </w:tc>
        <w:tc>
          <w:tcPr>
            <w:tcW w:w="59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三班</w:t>
            </w:r>
          </w:p>
        </w:tc>
        <w:tc>
          <w:tcPr>
            <w:tcW w:w="46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3</w:t>
            </w:r>
          </w:p>
        </w:tc>
        <w:tc>
          <w:tcPr>
            <w:tcW w:w="1779" w:type="pct"/>
            <w:noWrap/>
            <w:vAlign w:val="center"/>
          </w:tcPr>
          <w:p>
            <w:pPr>
              <w:jc w:val="center"/>
              <w:rPr>
                <w:rFonts w:hint="eastAsia" w:asciiTheme="minorEastAsia" w:hAnsiTheme="minorEastAsia" w:eastAsiaTheme="minorEastAsia" w:cstheme="minorEastAsia"/>
                <w:i w:val="0"/>
                <w:iCs w:val="0"/>
                <w:color w:val="000000"/>
                <w:sz w:val="21"/>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35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8</w:t>
            </w:r>
          </w:p>
        </w:tc>
        <w:tc>
          <w:tcPr>
            <w:tcW w:w="474" w:type="pct"/>
            <w:vMerge w:val="continue"/>
            <w:noWrap/>
            <w:vAlign w:val="center"/>
          </w:tcPr>
          <w:p>
            <w:pPr>
              <w:jc w:val="center"/>
              <w:rPr>
                <w:rFonts w:hint="eastAsia" w:asciiTheme="minorEastAsia" w:hAnsiTheme="minorEastAsia" w:eastAsiaTheme="minorEastAsia" w:cstheme="minorEastAsia"/>
                <w:i w:val="0"/>
                <w:iCs w:val="0"/>
                <w:color w:val="000000"/>
                <w:sz w:val="21"/>
                <w:szCs w:val="21"/>
                <w:u w:val="none" w:color="auto"/>
              </w:rPr>
            </w:pPr>
          </w:p>
        </w:tc>
        <w:tc>
          <w:tcPr>
            <w:tcW w:w="724"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天车工</w:t>
            </w:r>
          </w:p>
        </w:tc>
        <w:tc>
          <w:tcPr>
            <w:tcW w:w="59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2</w:t>
            </w:r>
          </w:p>
        </w:tc>
        <w:tc>
          <w:tcPr>
            <w:tcW w:w="59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三班</w:t>
            </w:r>
          </w:p>
        </w:tc>
        <w:tc>
          <w:tcPr>
            <w:tcW w:w="46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6</w:t>
            </w:r>
          </w:p>
        </w:tc>
        <w:tc>
          <w:tcPr>
            <w:tcW w:w="177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lang w:val="en-US"/>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持有特种作业天车操作证，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9</w:t>
            </w:r>
          </w:p>
        </w:tc>
        <w:tc>
          <w:tcPr>
            <w:tcW w:w="474" w:type="pct"/>
            <w:vMerge w:val="continue"/>
            <w:noWrap/>
            <w:vAlign w:val="center"/>
          </w:tcPr>
          <w:p>
            <w:pPr>
              <w:jc w:val="center"/>
              <w:rPr>
                <w:rFonts w:hint="eastAsia" w:asciiTheme="minorEastAsia" w:hAnsiTheme="minorEastAsia" w:eastAsiaTheme="minorEastAsia" w:cstheme="minorEastAsia"/>
                <w:i w:val="0"/>
                <w:iCs w:val="0"/>
                <w:color w:val="000000"/>
                <w:sz w:val="21"/>
                <w:szCs w:val="21"/>
                <w:u w:val="none" w:color="auto"/>
              </w:rPr>
            </w:pPr>
          </w:p>
        </w:tc>
        <w:tc>
          <w:tcPr>
            <w:tcW w:w="724"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指车工</w:t>
            </w:r>
          </w:p>
        </w:tc>
        <w:tc>
          <w:tcPr>
            <w:tcW w:w="59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1</w:t>
            </w:r>
          </w:p>
        </w:tc>
        <w:tc>
          <w:tcPr>
            <w:tcW w:w="59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三班</w:t>
            </w:r>
          </w:p>
        </w:tc>
        <w:tc>
          <w:tcPr>
            <w:tcW w:w="46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3</w:t>
            </w:r>
          </w:p>
        </w:tc>
        <w:tc>
          <w:tcPr>
            <w:tcW w:w="177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持有特种作业指车操作证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10</w:t>
            </w:r>
          </w:p>
        </w:tc>
        <w:tc>
          <w:tcPr>
            <w:tcW w:w="474"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渣盘区</w:t>
            </w:r>
          </w:p>
        </w:tc>
        <w:tc>
          <w:tcPr>
            <w:tcW w:w="724"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砌盘工</w:t>
            </w:r>
          </w:p>
        </w:tc>
        <w:tc>
          <w:tcPr>
            <w:tcW w:w="59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4</w:t>
            </w:r>
          </w:p>
        </w:tc>
        <w:tc>
          <w:tcPr>
            <w:tcW w:w="59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三班</w:t>
            </w:r>
          </w:p>
        </w:tc>
        <w:tc>
          <w:tcPr>
            <w:tcW w:w="46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12</w:t>
            </w:r>
          </w:p>
        </w:tc>
        <w:tc>
          <w:tcPr>
            <w:tcW w:w="1779" w:type="pct"/>
            <w:noWrap/>
            <w:vAlign w:val="center"/>
          </w:tcPr>
          <w:p>
            <w:pPr>
              <w:jc w:val="center"/>
              <w:rPr>
                <w:rFonts w:hint="eastAsia" w:asciiTheme="minorEastAsia" w:hAnsiTheme="minorEastAsia" w:eastAsiaTheme="minorEastAsia" w:cstheme="minorEastAsia"/>
                <w:i w:val="0"/>
                <w:iCs w:val="0"/>
                <w:color w:val="000000"/>
                <w:sz w:val="21"/>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5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11</w:t>
            </w:r>
          </w:p>
        </w:tc>
        <w:tc>
          <w:tcPr>
            <w:tcW w:w="474" w:type="pct"/>
            <w:vMerge w:val="restar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司机</w:t>
            </w:r>
          </w:p>
        </w:tc>
        <w:tc>
          <w:tcPr>
            <w:tcW w:w="724"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废钢运输</w:t>
            </w:r>
          </w:p>
        </w:tc>
        <w:tc>
          <w:tcPr>
            <w:tcW w:w="59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1</w:t>
            </w:r>
          </w:p>
        </w:tc>
        <w:tc>
          <w:tcPr>
            <w:tcW w:w="59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两班</w:t>
            </w:r>
          </w:p>
        </w:tc>
        <w:tc>
          <w:tcPr>
            <w:tcW w:w="46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2</w:t>
            </w:r>
          </w:p>
        </w:tc>
        <w:tc>
          <w:tcPr>
            <w:tcW w:w="177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5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12</w:t>
            </w:r>
          </w:p>
        </w:tc>
        <w:tc>
          <w:tcPr>
            <w:tcW w:w="474" w:type="pct"/>
            <w:vMerge w:val="continue"/>
            <w:noWrap/>
            <w:vAlign w:val="center"/>
          </w:tcPr>
          <w:p>
            <w:pPr>
              <w:jc w:val="center"/>
              <w:rPr>
                <w:rFonts w:hint="eastAsia" w:asciiTheme="minorEastAsia" w:hAnsiTheme="minorEastAsia" w:eastAsiaTheme="minorEastAsia" w:cstheme="minorEastAsia"/>
                <w:i w:val="0"/>
                <w:iCs w:val="0"/>
                <w:color w:val="000000"/>
                <w:sz w:val="21"/>
                <w:szCs w:val="21"/>
                <w:u w:val="none" w:color="auto"/>
              </w:rPr>
            </w:pPr>
          </w:p>
        </w:tc>
        <w:tc>
          <w:tcPr>
            <w:tcW w:w="724"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焖坑倒运</w:t>
            </w:r>
          </w:p>
        </w:tc>
        <w:tc>
          <w:tcPr>
            <w:tcW w:w="59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1</w:t>
            </w:r>
          </w:p>
        </w:tc>
        <w:tc>
          <w:tcPr>
            <w:tcW w:w="59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三班</w:t>
            </w:r>
          </w:p>
        </w:tc>
        <w:tc>
          <w:tcPr>
            <w:tcW w:w="46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3</w:t>
            </w:r>
          </w:p>
        </w:tc>
        <w:tc>
          <w:tcPr>
            <w:tcW w:w="177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5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13</w:t>
            </w:r>
          </w:p>
        </w:tc>
        <w:tc>
          <w:tcPr>
            <w:tcW w:w="474" w:type="pct"/>
            <w:vMerge w:val="continue"/>
            <w:noWrap/>
            <w:vAlign w:val="center"/>
          </w:tcPr>
          <w:p>
            <w:pPr>
              <w:jc w:val="center"/>
              <w:rPr>
                <w:rFonts w:hint="eastAsia" w:asciiTheme="minorEastAsia" w:hAnsiTheme="minorEastAsia" w:eastAsiaTheme="minorEastAsia" w:cstheme="minorEastAsia"/>
                <w:i w:val="0"/>
                <w:iCs w:val="0"/>
                <w:color w:val="000000"/>
                <w:sz w:val="21"/>
                <w:szCs w:val="21"/>
                <w:u w:val="none" w:color="auto"/>
              </w:rPr>
            </w:pPr>
          </w:p>
        </w:tc>
        <w:tc>
          <w:tcPr>
            <w:tcW w:w="724"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尾渣运输</w:t>
            </w:r>
          </w:p>
        </w:tc>
        <w:tc>
          <w:tcPr>
            <w:tcW w:w="59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3</w:t>
            </w:r>
          </w:p>
        </w:tc>
        <w:tc>
          <w:tcPr>
            <w:tcW w:w="59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长白班</w:t>
            </w:r>
          </w:p>
        </w:tc>
        <w:tc>
          <w:tcPr>
            <w:tcW w:w="46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3</w:t>
            </w:r>
          </w:p>
        </w:tc>
        <w:tc>
          <w:tcPr>
            <w:tcW w:w="177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5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14</w:t>
            </w:r>
          </w:p>
        </w:tc>
        <w:tc>
          <w:tcPr>
            <w:tcW w:w="474" w:type="pct"/>
            <w:vMerge w:val="continue"/>
            <w:noWrap/>
            <w:vAlign w:val="center"/>
          </w:tcPr>
          <w:p>
            <w:pPr>
              <w:jc w:val="center"/>
              <w:rPr>
                <w:rFonts w:hint="eastAsia" w:asciiTheme="minorEastAsia" w:hAnsiTheme="minorEastAsia" w:eastAsiaTheme="minorEastAsia" w:cstheme="minorEastAsia"/>
                <w:i w:val="0"/>
                <w:iCs w:val="0"/>
                <w:color w:val="000000"/>
                <w:sz w:val="21"/>
                <w:szCs w:val="21"/>
                <w:u w:val="none" w:color="auto"/>
              </w:rPr>
            </w:pPr>
          </w:p>
        </w:tc>
        <w:tc>
          <w:tcPr>
            <w:tcW w:w="724"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保产油铲</w:t>
            </w:r>
          </w:p>
        </w:tc>
        <w:tc>
          <w:tcPr>
            <w:tcW w:w="59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3</w:t>
            </w:r>
          </w:p>
        </w:tc>
        <w:tc>
          <w:tcPr>
            <w:tcW w:w="59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三班</w:t>
            </w:r>
          </w:p>
        </w:tc>
        <w:tc>
          <w:tcPr>
            <w:tcW w:w="46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9</w:t>
            </w:r>
          </w:p>
        </w:tc>
        <w:tc>
          <w:tcPr>
            <w:tcW w:w="177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5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15</w:t>
            </w:r>
          </w:p>
        </w:tc>
        <w:tc>
          <w:tcPr>
            <w:tcW w:w="474" w:type="pct"/>
            <w:vMerge w:val="continue"/>
            <w:noWrap/>
            <w:vAlign w:val="center"/>
          </w:tcPr>
          <w:p>
            <w:pPr>
              <w:jc w:val="center"/>
              <w:rPr>
                <w:rFonts w:hint="eastAsia" w:asciiTheme="minorEastAsia" w:hAnsiTheme="minorEastAsia" w:eastAsiaTheme="minorEastAsia" w:cstheme="minorEastAsia"/>
                <w:i w:val="0"/>
                <w:iCs w:val="0"/>
                <w:color w:val="000000"/>
                <w:sz w:val="21"/>
                <w:szCs w:val="21"/>
                <w:u w:val="none" w:color="auto"/>
              </w:rPr>
            </w:pPr>
          </w:p>
        </w:tc>
        <w:tc>
          <w:tcPr>
            <w:tcW w:w="724"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中转场油铲</w:t>
            </w:r>
          </w:p>
        </w:tc>
        <w:tc>
          <w:tcPr>
            <w:tcW w:w="59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1</w:t>
            </w:r>
          </w:p>
        </w:tc>
        <w:tc>
          <w:tcPr>
            <w:tcW w:w="59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长白班</w:t>
            </w:r>
          </w:p>
        </w:tc>
        <w:tc>
          <w:tcPr>
            <w:tcW w:w="46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1</w:t>
            </w:r>
          </w:p>
        </w:tc>
        <w:tc>
          <w:tcPr>
            <w:tcW w:w="177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16</w:t>
            </w:r>
          </w:p>
        </w:tc>
        <w:tc>
          <w:tcPr>
            <w:tcW w:w="474" w:type="pct"/>
            <w:vMerge w:val="continue"/>
            <w:noWrap/>
            <w:vAlign w:val="center"/>
          </w:tcPr>
          <w:p>
            <w:pPr>
              <w:jc w:val="center"/>
              <w:rPr>
                <w:rFonts w:hint="eastAsia" w:asciiTheme="minorEastAsia" w:hAnsiTheme="minorEastAsia" w:eastAsiaTheme="minorEastAsia" w:cstheme="minorEastAsia"/>
                <w:i w:val="0"/>
                <w:iCs w:val="0"/>
                <w:color w:val="000000"/>
                <w:sz w:val="21"/>
                <w:szCs w:val="21"/>
                <w:u w:val="none" w:color="auto"/>
              </w:rPr>
            </w:pPr>
          </w:p>
        </w:tc>
        <w:tc>
          <w:tcPr>
            <w:tcW w:w="724"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炉后挖机</w:t>
            </w:r>
          </w:p>
        </w:tc>
        <w:tc>
          <w:tcPr>
            <w:tcW w:w="59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2</w:t>
            </w:r>
          </w:p>
        </w:tc>
        <w:tc>
          <w:tcPr>
            <w:tcW w:w="59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三班</w:t>
            </w:r>
          </w:p>
        </w:tc>
        <w:tc>
          <w:tcPr>
            <w:tcW w:w="46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6</w:t>
            </w:r>
          </w:p>
        </w:tc>
        <w:tc>
          <w:tcPr>
            <w:tcW w:w="177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17</w:t>
            </w:r>
          </w:p>
        </w:tc>
        <w:tc>
          <w:tcPr>
            <w:tcW w:w="474" w:type="pct"/>
            <w:vMerge w:val="continue"/>
            <w:noWrap/>
            <w:vAlign w:val="center"/>
          </w:tcPr>
          <w:p>
            <w:pPr>
              <w:jc w:val="center"/>
              <w:rPr>
                <w:rFonts w:hint="eastAsia" w:asciiTheme="minorEastAsia" w:hAnsiTheme="minorEastAsia" w:eastAsiaTheme="minorEastAsia" w:cstheme="minorEastAsia"/>
                <w:i w:val="0"/>
                <w:iCs w:val="0"/>
                <w:color w:val="000000"/>
                <w:sz w:val="21"/>
                <w:szCs w:val="21"/>
                <w:u w:val="none" w:color="auto"/>
              </w:rPr>
            </w:pPr>
          </w:p>
        </w:tc>
        <w:tc>
          <w:tcPr>
            <w:tcW w:w="724"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吸盘挖机</w:t>
            </w:r>
          </w:p>
        </w:tc>
        <w:tc>
          <w:tcPr>
            <w:tcW w:w="59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1</w:t>
            </w:r>
          </w:p>
        </w:tc>
        <w:tc>
          <w:tcPr>
            <w:tcW w:w="59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长白班</w:t>
            </w:r>
          </w:p>
        </w:tc>
        <w:tc>
          <w:tcPr>
            <w:tcW w:w="46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1</w:t>
            </w:r>
          </w:p>
        </w:tc>
        <w:tc>
          <w:tcPr>
            <w:tcW w:w="177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5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18</w:t>
            </w:r>
          </w:p>
        </w:tc>
        <w:tc>
          <w:tcPr>
            <w:tcW w:w="474" w:type="pct"/>
            <w:vMerge w:val="continue"/>
            <w:noWrap/>
            <w:vAlign w:val="center"/>
          </w:tcPr>
          <w:p>
            <w:pPr>
              <w:jc w:val="center"/>
              <w:rPr>
                <w:rFonts w:hint="eastAsia" w:asciiTheme="minorEastAsia" w:hAnsiTheme="minorEastAsia" w:eastAsiaTheme="minorEastAsia" w:cstheme="minorEastAsia"/>
                <w:i w:val="0"/>
                <w:iCs w:val="0"/>
                <w:color w:val="000000"/>
                <w:sz w:val="21"/>
                <w:szCs w:val="21"/>
                <w:u w:val="none" w:color="auto"/>
              </w:rPr>
            </w:pPr>
          </w:p>
        </w:tc>
        <w:tc>
          <w:tcPr>
            <w:tcW w:w="724"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平板车</w:t>
            </w:r>
          </w:p>
        </w:tc>
        <w:tc>
          <w:tcPr>
            <w:tcW w:w="59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1</w:t>
            </w:r>
          </w:p>
        </w:tc>
        <w:tc>
          <w:tcPr>
            <w:tcW w:w="59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长白班</w:t>
            </w:r>
          </w:p>
        </w:tc>
        <w:tc>
          <w:tcPr>
            <w:tcW w:w="46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1</w:t>
            </w:r>
          </w:p>
        </w:tc>
        <w:tc>
          <w:tcPr>
            <w:tcW w:w="177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5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19</w:t>
            </w:r>
          </w:p>
        </w:tc>
        <w:tc>
          <w:tcPr>
            <w:tcW w:w="474" w:type="pct"/>
            <w:vMerge w:val="restar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一期</w:t>
            </w:r>
          </w:p>
        </w:tc>
        <w:tc>
          <w:tcPr>
            <w:tcW w:w="724"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天车工</w:t>
            </w:r>
          </w:p>
        </w:tc>
        <w:tc>
          <w:tcPr>
            <w:tcW w:w="59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1</w:t>
            </w:r>
          </w:p>
        </w:tc>
        <w:tc>
          <w:tcPr>
            <w:tcW w:w="59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两班</w:t>
            </w:r>
          </w:p>
        </w:tc>
        <w:tc>
          <w:tcPr>
            <w:tcW w:w="46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2</w:t>
            </w:r>
          </w:p>
        </w:tc>
        <w:tc>
          <w:tcPr>
            <w:tcW w:w="177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持有特种作业天车操作证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5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20</w:t>
            </w:r>
          </w:p>
        </w:tc>
        <w:tc>
          <w:tcPr>
            <w:tcW w:w="474" w:type="pct"/>
            <w:vMerge w:val="continue"/>
            <w:noWrap/>
            <w:vAlign w:val="center"/>
          </w:tcPr>
          <w:p>
            <w:pPr>
              <w:jc w:val="center"/>
              <w:rPr>
                <w:rFonts w:hint="eastAsia" w:asciiTheme="minorEastAsia" w:hAnsiTheme="minorEastAsia" w:eastAsiaTheme="minorEastAsia" w:cstheme="minorEastAsia"/>
                <w:i w:val="0"/>
                <w:iCs w:val="0"/>
                <w:color w:val="000000"/>
                <w:sz w:val="21"/>
                <w:szCs w:val="21"/>
                <w:u w:val="none" w:color="auto"/>
              </w:rPr>
            </w:pPr>
          </w:p>
        </w:tc>
        <w:tc>
          <w:tcPr>
            <w:tcW w:w="724"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指车工</w:t>
            </w:r>
          </w:p>
        </w:tc>
        <w:tc>
          <w:tcPr>
            <w:tcW w:w="59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1</w:t>
            </w:r>
          </w:p>
        </w:tc>
        <w:tc>
          <w:tcPr>
            <w:tcW w:w="59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两班</w:t>
            </w:r>
          </w:p>
        </w:tc>
        <w:tc>
          <w:tcPr>
            <w:tcW w:w="46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2</w:t>
            </w:r>
          </w:p>
        </w:tc>
        <w:tc>
          <w:tcPr>
            <w:tcW w:w="177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持有特种作业指车操作证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5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21</w:t>
            </w:r>
          </w:p>
        </w:tc>
        <w:tc>
          <w:tcPr>
            <w:tcW w:w="474"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停车场</w:t>
            </w:r>
          </w:p>
        </w:tc>
        <w:tc>
          <w:tcPr>
            <w:tcW w:w="724"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焊工</w:t>
            </w:r>
          </w:p>
        </w:tc>
        <w:tc>
          <w:tcPr>
            <w:tcW w:w="59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1</w:t>
            </w:r>
          </w:p>
        </w:tc>
        <w:tc>
          <w:tcPr>
            <w:tcW w:w="59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长白班</w:t>
            </w:r>
          </w:p>
        </w:tc>
        <w:tc>
          <w:tcPr>
            <w:tcW w:w="46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1</w:t>
            </w:r>
          </w:p>
        </w:tc>
        <w:tc>
          <w:tcPr>
            <w:tcW w:w="177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挖机铲斗修复，持有特种作业焊接与热切割操作证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5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22</w:t>
            </w:r>
          </w:p>
        </w:tc>
        <w:tc>
          <w:tcPr>
            <w:tcW w:w="474"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废钢池</w:t>
            </w:r>
          </w:p>
        </w:tc>
        <w:tc>
          <w:tcPr>
            <w:tcW w:w="724"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切割工</w:t>
            </w:r>
          </w:p>
        </w:tc>
        <w:tc>
          <w:tcPr>
            <w:tcW w:w="59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2</w:t>
            </w:r>
          </w:p>
        </w:tc>
        <w:tc>
          <w:tcPr>
            <w:tcW w:w="59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长白班</w:t>
            </w:r>
          </w:p>
        </w:tc>
        <w:tc>
          <w:tcPr>
            <w:tcW w:w="46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2</w:t>
            </w:r>
          </w:p>
        </w:tc>
        <w:tc>
          <w:tcPr>
            <w:tcW w:w="177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color="auto"/>
              </w:rPr>
            </w:pPr>
            <w:r>
              <w:rPr>
                <w:rFonts w:hint="eastAsia" w:asciiTheme="minorEastAsia" w:hAnsiTheme="minorEastAsia" w:eastAsiaTheme="minorEastAsia" w:cstheme="minorEastAsia"/>
                <w:i w:val="0"/>
                <w:iCs w:val="0"/>
                <w:color w:val="000000"/>
                <w:kern w:val="0"/>
                <w:sz w:val="21"/>
                <w:szCs w:val="21"/>
                <w:u w:val="none" w:color="auto"/>
                <w:lang w:val="en-US" w:eastAsia="zh-CN" w:bidi="ar"/>
              </w:rPr>
              <w:t>持有特种作业焊接与热切割操作证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6"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color="auto"/>
              </w:rPr>
            </w:pPr>
            <w:r>
              <w:rPr>
                <w:rFonts w:hint="eastAsia" w:asciiTheme="minorEastAsia" w:hAnsiTheme="minorEastAsia" w:eastAsiaTheme="minorEastAsia" w:cstheme="minorEastAsia"/>
                <w:b/>
                <w:bCs/>
                <w:i w:val="0"/>
                <w:iCs w:val="0"/>
                <w:color w:val="000000"/>
                <w:kern w:val="0"/>
                <w:sz w:val="21"/>
                <w:szCs w:val="21"/>
                <w:u w:val="none" w:color="auto"/>
                <w:lang w:val="en-US" w:eastAsia="zh-CN" w:bidi="ar"/>
              </w:rPr>
              <w:t>23</w:t>
            </w:r>
          </w:p>
        </w:tc>
        <w:tc>
          <w:tcPr>
            <w:tcW w:w="1199" w:type="pct"/>
            <w:gridSpan w:val="2"/>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color="auto"/>
              </w:rPr>
            </w:pPr>
            <w:r>
              <w:rPr>
                <w:rFonts w:hint="eastAsia" w:asciiTheme="minorEastAsia" w:hAnsiTheme="minorEastAsia" w:eastAsiaTheme="minorEastAsia" w:cstheme="minorEastAsia"/>
                <w:b/>
                <w:bCs/>
                <w:i w:val="0"/>
                <w:iCs w:val="0"/>
                <w:color w:val="000000"/>
                <w:kern w:val="0"/>
                <w:sz w:val="21"/>
                <w:szCs w:val="21"/>
                <w:u w:val="none" w:color="auto"/>
                <w:lang w:val="en-US" w:eastAsia="zh-CN" w:bidi="ar"/>
              </w:rPr>
              <w:t>合计</w:t>
            </w:r>
          </w:p>
        </w:tc>
        <w:tc>
          <w:tcPr>
            <w:tcW w:w="599" w:type="pct"/>
            <w:noWrap/>
            <w:vAlign w:val="center"/>
          </w:tcPr>
          <w:p>
            <w:pPr>
              <w:rPr>
                <w:rFonts w:hint="eastAsia" w:asciiTheme="minorEastAsia" w:hAnsiTheme="minorEastAsia" w:eastAsiaTheme="minorEastAsia" w:cstheme="minorEastAsia"/>
                <w:b/>
                <w:bCs/>
                <w:i w:val="0"/>
                <w:iCs w:val="0"/>
                <w:color w:val="000000"/>
                <w:sz w:val="21"/>
                <w:szCs w:val="21"/>
                <w:u w:val="none" w:color="auto"/>
              </w:rPr>
            </w:pPr>
          </w:p>
        </w:tc>
        <w:tc>
          <w:tcPr>
            <w:tcW w:w="596" w:type="pct"/>
            <w:noWrap/>
            <w:vAlign w:val="center"/>
          </w:tcPr>
          <w:p>
            <w:pPr>
              <w:rPr>
                <w:rFonts w:hint="eastAsia" w:asciiTheme="minorEastAsia" w:hAnsiTheme="minorEastAsia" w:eastAsiaTheme="minorEastAsia" w:cstheme="minorEastAsia"/>
                <w:b/>
                <w:bCs/>
                <w:i w:val="0"/>
                <w:iCs w:val="0"/>
                <w:color w:val="000000"/>
                <w:sz w:val="21"/>
                <w:szCs w:val="21"/>
                <w:u w:val="none" w:color="auto"/>
              </w:rPr>
            </w:pPr>
          </w:p>
        </w:tc>
        <w:tc>
          <w:tcPr>
            <w:tcW w:w="469" w:type="pct"/>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color="auto"/>
              </w:rPr>
            </w:pPr>
            <w:r>
              <w:rPr>
                <w:rFonts w:hint="eastAsia" w:asciiTheme="minorEastAsia" w:hAnsiTheme="minorEastAsia" w:eastAsiaTheme="minorEastAsia" w:cstheme="minorEastAsia"/>
                <w:b/>
                <w:bCs/>
                <w:i w:val="0"/>
                <w:iCs w:val="0"/>
                <w:color w:val="000000"/>
                <w:kern w:val="0"/>
                <w:sz w:val="21"/>
                <w:szCs w:val="21"/>
                <w:u w:val="none" w:color="auto"/>
                <w:lang w:val="en-US" w:eastAsia="zh-CN" w:bidi="ar"/>
              </w:rPr>
              <w:t>85</w:t>
            </w:r>
          </w:p>
        </w:tc>
        <w:tc>
          <w:tcPr>
            <w:tcW w:w="1779" w:type="pct"/>
            <w:noWrap/>
            <w:vAlign w:val="center"/>
          </w:tcPr>
          <w:p>
            <w:pPr>
              <w:rPr>
                <w:rFonts w:hint="eastAsia" w:asciiTheme="minorEastAsia" w:hAnsiTheme="minorEastAsia" w:eastAsiaTheme="minorEastAsia" w:cstheme="minorEastAsia"/>
                <w:b/>
                <w:bCs/>
                <w:i w:val="0"/>
                <w:iCs w:val="0"/>
                <w:color w:val="000000"/>
                <w:sz w:val="21"/>
                <w:szCs w:val="21"/>
                <w:u w:val="none" w:color="auto"/>
              </w:rPr>
            </w:pPr>
          </w:p>
        </w:tc>
      </w:tr>
    </w:tbl>
    <w:p>
      <w:pPr>
        <w:pStyle w:val="14"/>
        <w:keepNext w:val="0"/>
        <w:keepLines w:val="0"/>
        <w:pageBreakBefore w:val="0"/>
        <w:widowControl w:val="0"/>
        <w:numPr>
          <w:ilvl w:val="0"/>
          <w:numId w:val="0"/>
        </w:numPr>
        <w:tabs>
          <w:tab w:val="left" w:pos="0"/>
          <w:tab w:val="left" w:pos="405"/>
          <w:tab w:val="left" w:pos="567"/>
          <w:tab w:val="left" w:pos="601"/>
          <w:tab w:val="left" w:pos="1980"/>
        </w:tabs>
        <w:kinsoku/>
        <w:wordWrap/>
        <w:overflowPunct/>
        <w:topLinePunct w:val="0"/>
        <w:bidi w:val="0"/>
        <w:spacing w:line="200" w:lineRule="atLeast"/>
        <w:textAlignment w:val="auto"/>
        <w:rPr>
          <w:rFonts w:hint="eastAsia" w:ascii="宋体" w:hAnsi="宋体"/>
          <w:b w:val="0"/>
          <w:bCs/>
          <w:color w:val="auto"/>
          <w:sz w:val="21"/>
          <w:szCs w:val="21"/>
          <w:highlight w:val="none"/>
          <w:u w:val="none" w:color="auto"/>
          <w:lang w:val="en-US" w:eastAsia="zh-CN"/>
        </w:rPr>
      </w:pP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lang w:val="en-US" w:eastAsia="zh-CN"/>
        </w:rPr>
      </w:pPr>
      <w:r>
        <w:rPr>
          <w:rFonts w:hint="eastAsia" w:ascii="宋体" w:hAnsi="宋体"/>
          <w:b w:val="0"/>
          <w:bCs/>
          <w:color w:val="auto"/>
          <w:sz w:val="21"/>
          <w:szCs w:val="21"/>
          <w:highlight w:val="none"/>
          <w:u w:val="none" w:color="auto"/>
          <w:lang w:val="en-US" w:eastAsia="zh-CN"/>
        </w:rPr>
        <w:t>乙方负责配置保产机械车辆24小时作业。现场挖掘机4台（3用1备）以上，用于炉下清渣、焖坑翻渣、焖坑出渣、大块吸选、废钢池清理及一期退土清理；装载机4台（3用1备）以上，用于炉下清渣，渣罐、渣盘垫渣，注余废渣清运，粒铁线上料，尾渣装车等；自卸车7台，用于焖坑渣倒运，渣钢、粒铁、粒铁粉回供、尾渣运输、废钢池及一期清理拉运；平板车1台，主要用于大块废钢的转运。</w:t>
      </w:r>
    </w:p>
    <w:p>
      <w:pPr>
        <w:pStyle w:val="14"/>
        <w:keepNext w:val="0"/>
        <w:keepLines w:val="0"/>
        <w:pageBreakBefore w:val="0"/>
        <w:widowControl w:val="0"/>
        <w:numPr>
          <w:ilvl w:val="0"/>
          <w:numId w:val="3"/>
        </w:numPr>
        <w:tabs>
          <w:tab w:val="left" w:pos="0"/>
          <w:tab w:val="left" w:pos="405"/>
          <w:tab w:val="left" w:pos="567"/>
          <w:tab w:val="left" w:pos="601"/>
          <w:tab w:val="left" w:pos="1980"/>
        </w:tabs>
        <w:kinsoku/>
        <w:wordWrap/>
        <w:overflowPunct/>
        <w:topLinePunct w:val="0"/>
        <w:bidi w:val="0"/>
        <w:spacing w:line="200" w:lineRule="atLeast"/>
        <w:ind w:firstLine="525" w:firstLineChars="250"/>
        <w:textAlignment w:val="auto"/>
        <w:rPr>
          <w:rFonts w:hint="eastAsia" w:ascii="宋体" w:hAnsi="宋体"/>
          <w:b w:val="0"/>
          <w:bCs/>
          <w:color w:val="auto"/>
          <w:sz w:val="21"/>
          <w:szCs w:val="21"/>
          <w:highlight w:val="none"/>
          <w:u w:val="none" w:color="auto"/>
          <w:lang w:val="en-US" w:eastAsia="zh-CN"/>
        </w:rPr>
      </w:pPr>
      <w:r>
        <w:rPr>
          <w:rFonts w:hint="eastAsia" w:ascii="宋体" w:hAnsi="宋体"/>
          <w:b w:val="0"/>
          <w:bCs/>
          <w:color w:val="auto"/>
          <w:sz w:val="21"/>
          <w:szCs w:val="21"/>
          <w:highlight w:val="none"/>
          <w:u w:val="none" w:color="auto"/>
          <w:lang w:val="en-US" w:eastAsia="zh-CN"/>
        </w:rPr>
        <w:t>乙方负责提供机械车辆油品（含中转厂1台油铲用油）、车辆维修（含备件材料、维修人工及榆中分公司猎豹车维修保养）及车辆保险，负责缴纳中转场所有水电费、生活基地水费等。</w:t>
      </w:r>
    </w:p>
    <w:p>
      <w:pPr>
        <w:pStyle w:val="6"/>
        <w:keepNext w:val="0"/>
        <w:keepLines w:val="0"/>
        <w:pageBreakBefore w:val="0"/>
        <w:widowControl w:val="0"/>
        <w:kinsoku/>
        <w:wordWrap/>
        <w:overflowPunct/>
        <w:topLinePunct w:val="0"/>
        <w:bidi w:val="0"/>
        <w:spacing w:before="0" w:after="0" w:line="360" w:lineRule="auto"/>
        <w:ind w:firstLine="422" w:firstLineChars="200"/>
        <w:jc w:val="both"/>
        <w:textAlignment w:val="auto"/>
        <w:rPr>
          <w:rFonts w:hint="eastAsia" w:ascii="宋体" w:hAnsi="宋体"/>
          <w:b/>
          <w:bCs w:val="0"/>
          <w:color w:val="auto"/>
          <w:sz w:val="21"/>
          <w:szCs w:val="21"/>
          <w:highlight w:val="none"/>
        </w:rPr>
      </w:pPr>
      <w:r>
        <w:rPr>
          <w:rFonts w:hint="eastAsia" w:ascii="宋体" w:hAnsi="宋体"/>
          <w:b/>
          <w:bCs w:val="0"/>
          <w:color w:val="auto"/>
          <w:sz w:val="21"/>
          <w:szCs w:val="21"/>
          <w:highlight w:val="none"/>
          <w:lang w:val="en-US" w:eastAsia="zh-CN"/>
        </w:rPr>
        <w:t>七、</w:t>
      </w:r>
      <w:r>
        <w:rPr>
          <w:rFonts w:hint="eastAsia" w:ascii="宋体" w:hAnsi="宋体"/>
          <w:b/>
          <w:bCs w:val="0"/>
          <w:color w:val="auto"/>
          <w:sz w:val="21"/>
          <w:szCs w:val="21"/>
          <w:highlight w:val="none"/>
        </w:rPr>
        <w:t>违约责任</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1.如甲方原因不能按合同约定及时支付外包费，甲方应按照中国人民银行公布的同期贷款基准利率就逾期部分的合同价款向乙方支付违约金。甲方连续拖欠款项达三个月以上，致使合同无法履行，乙方有权解除合同，并依法追回欠款和违约金。</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2.乙方中途解除合同须提前30天向甲方提出，乙方未提出解除合同申请或提出申请30天以内中途解除合同给甲方造成的任何影响和损失，均由乙方承担。</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3.由于乙方原因导致不能完成工作任务或影响较为严重的，由乙方承担全部责任，并赔偿甲方全部直接经济损失。</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4.乙方不能在甲方指定的规定时间内完成工作，不严格遵守工作时间及工作量，每发生一次，承担200元/次-500元/次违约金。发生三次以上，要求乙方限期整改。</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5.乙方必须严格按作业文件和有关规程进行工作。凡因乙方不按作业文件及有关规程作业，造成甲方设备工器具损坏、延误生产、产品质量不合格或因乙方责任致使甲方停止生产，承担500-5000元/次违约金；给甲方造成的损失，其直接损失和因停产造成的间接损失由乙方负责赔偿（直接损失按恢复生产必须产生的费用计；间接损失按甲乙双方共同核算费用为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6.乙方拒不服从甲方作业任务安排，每次承担500-1000元违约金。</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7.因乙方原因造成甲方设备损坏的，乙方应照价赔偿；造成生产损失的应一并承担由此给甲方造成的直接和间接损失。</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8.乙方不得对业务进行二次转包，否则承担乙方所交纳的合同履约保证金，并终止本合同；造成甲方损失的，乙方按损失全额赔偿。</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9.乙方现场生产作业违反甲方的安全规章制度或生产管理规定的，比照甲方管理制度的考核标准由乙方承担相应数量的违约金，在乙方应付账款中予以扣除；乙方其他违反甲方管理的现象和行为，比照甲方相关管理制度由乙方承担相应数量的违约金，在乙方应付账款中予以扣除。</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10.乙方现场作业人员劳动保护用品穿戴不齐全，承担500元/次违约金。</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11.甲方在日常检查中，对于乙方存在的安全、环保、进度、质量、综合治理等不符合项，乙方承担违约金500-5000元/项，如未按整改期限完成整改、不按要求整改或重复出现的违约金金额翻倍，由此造成的安全、环保、综治事件，乙方承担全部后果及责任。</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12.由于乙方在作业过程中造成的安全、环保事故、事件，由乙方承担全部责任和全部经济损失。发生一般安全、环保事故、事件，除承担相应经济损失外，每人（次）向甲方支付违约金20000元；发生较大安全、环保事故，除承担全部责任和全部经济损失外，每人（次）向甲方支付违约金50000元，发生重大安全、环保事故、事件每人（次）向甲方支付违约金100000元；发生特别重大安全、环保事故、事件，除承担相应经济损失外，乙方承担违约金200000元；乙方发生一起一般人身险肇事故，除承担相应经济损失外，向甲方支付违约金5000元（含5000元）以上至10000元（含10000元）以下的违约金；发生一起重大人身险肇事故，除承担相应经济损失外，向甲方支付违约金10000元（含10000元）以上至20000元（含20000元）以下的违约金。上述情节恶劣的，甲方有权解除合同，并追究乙方的责任。</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13.甲方有权监督检查乙方所有作业行为，对其员工在厂区发生的违反综合治理、安全环保、弄虚作假及其它不良行为，以及乙方违反酒钢公司相关制度的行为，乙方承担2000-20000元/次违约金。</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14.乙方在酒钢集团公司现场区域内有偷盗、倒卖所属酒钢集团公司的物资行为时，一经查处，乙方应承担责任并赔偿损失，除承担酒钢集团公司职能部门对甲方的全部经济处罚外，依据情节轻重，乙方承担违约金10000-100000元/次，同时甲方有权解除合同。</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15.乙方不按甲方规定的程序承办有关出入厂手续，每出现一次承担500元违约金。</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16.乙方作业人员未按规定进行三级安全教育，作业人员未取得相应的资质，每出现一次承担500元违约金。</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17.乙方必须与业务外包人员签订劳动合同，凡不按时签订劳动合同的，将承担500元/人违约金。乙方在乙方作业人员进入工作现场前必须为其购买工伤险，未按时购买工伤险的，甲方按每人工伤险赔付金额的50%进行考核。若甲方要求其他保险的乙方须按甲方要求为准购买。</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18.乙方作业人员应按甲方要求上缴的各类保险及职业健康卫生体检报告，甲方不定期进行检查，如有缺失，每出现一次承担500元违约金。</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19.上岗时间未满15天即离岗的作业人员，每出现一人次乙方承担500元违约金。</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20.乙方调整作业人员未告知甲方，乙方承担500元/人违约金。</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21.乙方在合同期内发生作业人员流失，在8小时未能补齐，每出现1人次，承担500元违约金。作业人员流失比例大于10%，承担1000—5000元违约金，情节严重的，甲方有权解除合同。</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22.乙方必须每月向甲方提报经用工人员签字的工资发放清单，由甲方留查备案，一次不提报承担500元违约金。</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23.乙方须在作业人员离职后的三个工作日以内提供离职人员的相关信息并上报甲方注销其所持入厂证。乙方未在规定时间内注销离职人员入厂证的，每人每超一日乙方承担200元违约金。</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24.乙方应按时给乙方作业人员结算工资，如因工资拖欠造成劳务纠纷，导致扰乱甲方正常经营秩序的，按直接损失进行赔偿。</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25.合同生效后，乙方无正当理由解除合同和不全面履行合同，应向甲方赔付10万元违约金。</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26.在合同执行过程中，各类违约处罚一经甲方落实属实并掌握处罚证据的，乙方拒不签认的，甲方将正式的违约金处罚书面文件送达乙方后，甲方可直接执行违约金处罚，不需要乙方签认。</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27. 乙方没有按照承包内容完成合同约定工作，并由此导致影响甲方生产的，每次追究违约责任5000元。乙方不按要求对渣盘进行垫渣，每次追究违约责任500元。由于垫渣不到位以及砌筑质量问题造成渣盘粘钢，由乙方负责处理，造成损坏的照价赔偿。乙方接到甲方通知清理炉下渣、钢包车积渣，5分钟内人员未到位影响转炉清渣，每次追究违约责任1000元。乙方接到甲方通知在4个小时内未将转炉渣盘下线、翻扣、砌筑、上线，每次追究违约责任2000元。</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28.乙方必须及时按照甲方要求清理转炉炉下及LF炉，清理产生的废钢铁渣，不得影响正常生产，影响正常生产半小时，乙方向甲方支付违约金5000元/半小时。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29.乙方要在炼钢生产调度的指令下及时调换渣罐。如影响甲方正常生产5分钟，乙方向甲方支付违约金2000元。</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30.乙方如影响尾渣及废渣装车外运，乙方向甲方支付违约金2000元/次。</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31.因乙方天车工操作问题，造成天车故障的，除赔偿损失外，乙方向甲方支付违约金2000元/次。</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32.乙方在作业范围内不按甲方安全管理要求进行作业，乙方向甲方支付违约金3000元。</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33.乙方不按照规定的时间完成生产工器具的吊卸工作，影响周转使用，乙方向甲方支付违约金1000元/次。</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34.由于乙方操作原因造成甲方设备、设施劣化、损坏的甲方追究违约责任1000元/次，除考核外对损坏的设备设施进行恢复，不能按期恢复的追究违约责任1000元/天，并依次累加，如对生产造成影响的按影响程度追加追究违约责任。</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35.乙方未按照甲方规定正确使用动力能源介质及设施，浪费及违规作业，造成的经济损失及各类事故由乙方承担，同时每次追究违约责任2000元。</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36.乙方生产过程中，产生的钢铁料必须按照甲方的相关要求进行加工回收，不得夹带、藏匿，检查发现一次对乙方追究违约责任10000元。</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37.乙方在渣跨弄虚作假，损害甲方利益，以及违反其他规章制度，除赔偿损失外，每次追究违约责任20000元，重复发生的追究违约责任100000元/次，同时甲方有权解除本合同。</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38.乙方发生各种违反国家法律、法规的行为，造成的经济损失由乙方赔偿，同时由榆钢派出所和榆钢保卫部依据国家相关法律法规和与乙方签订的《治安承包责任书》处理并落实追究违约责任，情节严重的甲方有权解除本合同。</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39.被甲方清退的、有不良记录的人员，乙方不得聘用或办理入厂手续，发现一次按照5000元/次进行追究违约责任。</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40.因乙方责任造成甲方生产、设备故障的，对乙方按照2000元/次追究违约责任，重复发生的加倍处罚并按照损失进行追加处罚。</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41.因乙方责任造成甲方生产、设备一般事故、较大事故、重大事故、特大事故的，除承担甲方经济损失以外，按照甲方专业考核细则进行追究违约责任。</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42.乙方必须与甲方签订《安全协议》及《治安承包责任书》，因乙方原因导致的甲方及第三方人身伤害、设备、公辅设施损坏，以及违反甲方治安条例，一切经济损失及责任均由乙方承担。</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43.乙方必须按时参加甲方组织的各种生产、业务管理协调会议，服从业务管理的有关规定，协商解决出现的各类问题和争端，绝不能消极怠工影响甲方生产。如违反首次按照1000元/次进行违约处理,重复出现5000元/次进行违约处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44.乙方在作业中不服从生产安排或与甲方发生争执，对乙方按照2000元/次进行违约处理；情节严重的，甲方扣除当月付给乙方业务外包费的2%-5%。</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45.乙方未按照要求持证上岗，对乙方按照1000元/次进行违约处理，重复发生的加倍违约处理。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46.乙方必须配合甲方日常检查评价，对评价不符合项未按要求及期限整改按照榆钢公司生产专业管理考核细则落实责任。</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47.乙方在保产过程中发生二次扬尘等环保问题，每次追究违约责任5000元；因乙方原因造成环保事件，由此造成的损失及责任由乙方全部承担，同时承担县、市环保局全额罚款，内部发生环保事件，每次追究违约责任5万元。</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48.乙方必须按照国家职业卫生健康相关规定执行，若发现违反职业卫生健康相关规定，每次追究违约责任2000元。</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49.因乙方加工钢铁料和废钢质量不符合验收标准，甲方拒绝接受；若给甲方生产造成经济损失的，每次对乙方追究违约责任1000元。</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50.乙方在进行渣罐使用过程中因垫渣或喷涂不标准，造成渣罐粘渣，追究违约责任1000元/次，无法正常使用的按照原物进行赔偿，发现磕渣罐追究违约责任5000元/次，造成渣罐或其它设备设施损坏的按照原物进行赔偿，所有赔偿期限以甲方规定的期限为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51.由于乙方原因影响废渣倒运，从而影响正常生产的，每次追究违约责任2000元，每影响1天，累加追究违约责任1000元。</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52.乙方对区域的卫生清理不及时，每次追究违约责任500元。</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53.由于乙方原因未完成加工计划，造成甲方废钢铁断料的，每次追究违约责任5000元。</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54.乙方废钢加工人员进入甲方生产现场时必须遵守甲方的各项安全规章制度，不服从管理者每次追究违约责任3000元。</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55.现场作业期间，因乙方管理不善、联系确认不清、安全教育不到位、违章指挥、违章作业等导致的人身伤害事故及意外、险肇事故，由乙方承担全部管理责任和事故责任。乙方负责本单位发生安全事故后的上报、善后处理、赔偿。</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56.在合同执行过程中坚持实行“安全一票否决制”，如乙方在履行合同内容过程发生死亡事故时，甲方有权解除合同的条款，并对年度发生工亡事故的一律纳入不合格供方。</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57.乙方在合同执行期间发生事故、违章和隐患后的考核、触犯榆钢公司红线底线考核，按《安全协议》考核条款执行。</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58.因乙方原因出现环保问题，乙方承担违约金5000元/次；因乙方原因造成超标排放、环保事件或受到政府部门处罚的，全部由乙方承担责任，同时赔偿甲方所有损失，且承担违约金5万元/次。</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59.乙方现场作业过程中的违章行为及安全责任落实不到位时，乙方承担违约金1万元/次，严重违章行为违约金不低于5万元/项。</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60.乙方在保产过程中出现保产不力影响炼钢作业区安全、环保、生产等各项指标时，甲方有权终止合。</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61.因乙方加工质量不符合验收标准，甲方拒绝接受，若影响甲方生产造成的经济损失由乙方承担，同时每次对乙方追究违约责任20元/吨。</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62.由于乙方操作原因或维护不及时造成甲方设备、设施劣化、损坏的甲方追究违约责任1000元/次，除追究违约责任外对损坏的设备设施进行恢复，不能按期恢复的追究违约责任1000元/天，并依次累加，如对生产造成影响的按影响程度追加追究违约责任。</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63.以上违约条款不全面的，依据《甘肃润源环境资源科技有限公司考核管理细则》进行追究责任。</w:t>
      </w:r>
    </w:p>
    <w:tbl>
      <w:tblPr>
        <w:tblStyle w:val="7"/>
        <w:tblW w:w="0" w:type="auto"/>
        <w:tblInd w:w="0" w:type="dxa"/>
        <w:tblLayout w:type="autofit"/>
        <w:tblCellMar>
          <w:top w:w="0" w:type="dxa"/>
          <w:left w:w="108" w:type="dxa"/>
          <w:bottom w:w="0" w:type="dxa"/>
          <w:right w:w="108" w:type="dxa"/>
        </w:tblCellMar>
      </w:tblPr>
      <w:tblGrid>
        <w:gridCol w:w="4342"/>
        <w:gridCol w:w="4180"/>
      </w:tblGrid>
      <w:tr>
        <w:tblPrEx>
          <w:tblCellMar>
            <w:top w:w="0" w:type="dxa"/>
            <w:left w:w="108" w:type="dxa"/>
            <w:bottom w:w="0" w:type="dxa"/>
            <w:right w:w="108" w:type="dxa"/>
          </w:tblCellMar>
        </w:tblPrEx>
        <w:tc>
          <w:tcPr>
            <w:tcW w:w="4643" w:type="dxa"/>
            <w:noWrap w:val="0"/>
            <w:vAlign w:val="center"/>
          </w:tcPr>
          <w:p>
            <w:pPr>
              <w:widowControl w:val="0"/>
              <w:adjustRightInd w:val="0"/>
              <w:snapToGrid w:val="0"/>
              <w:spacing w:line="360" w:lineRule="auto"/>
              <w:jc w:val="both"/>
              <w:outlineLvl w:val="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甲方：</w:t>
            </w:r>
            <w:r>
              <w:rPr>
                <w:rFonts w:hint="eastAsia" w:ascii="宋体" w:hAnsi="宋体" w:cs="宋体"/>
                <w:color w:val="auto"/>
                <w:kern w:val="0"/>
                <w:sz w:val="21"/>
                <w:szCs w:val="21"/>
                <w:highlight w:val="none"/>
              </w:rPr>
              <w:t>甘肃润源环境资源科技有限公司榆中分公司</w:t>
            </w:r>
          </w:p>
          <w:p>
            <w:pPr>
              <w:widowControl w:val="0"/>
              <w:adjustRightInd w:val="0"/>
              <w:snapToGrid w:val="0"/>
              <w:spacing w:line="360" w:lineRule="auto"/>
              <w:jc w:val="both"/>
              <w:outlineLvl w:val="0"/>
              <w:rPr>
                <w:rFonts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（盖章）</w:t>
            </w:r>
          </w:p>
        </w:tc>
        <w:tc>
          <w:tcPr>
            <w:tcW w:w="4643" w:type="dxa"/>
            <w:noWrap w:val="0"/>
            <w:vAlign w:val="center"/>
          </w:tcPr>
          <w:p>
            <w:pPr>
              <w:widowControl w:val="0"/>
              <w:adjustRightInd w:val="0"/>
              <w:snapToGrid w:val="0"/>
              <w:spacing w:line="360" w:lineRule="auto"/>
              <w:jc w:val="both"/>
              <w:outlineLvl w:val="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乙方：</w:t>
            </w:r>
          </w:p>
          <w:p>
            <w:pPr>
              <w:widowControl w:val="0"/>
              <w:adjustRightInd w:val="0"/>
              <w:snapToGrid w:val="0"/>
              <w:spacing w:line="360" w:lineRule="auto"/>
              <w:jc w:val="both"/>
              <w:outlineLvl w:val="0"/>
              <w:rPr>
                <w:rFonts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（盖章）</w:t>
            </w:r>
          </w:p>
        </w:tc>
      </w:tr>
      <w:tr>
        <w:tblPrEx>
          <w:tblCellMar>
            <w:top w:w="0" w:type="dxa"/>
            <w:left w:w="108" w:type="dxa"/>
            <w:bottom w:w="0" w:type="dxa"/>
            <w:right w:w="108" w:type="dxa"/>
          </w:tblCellMar>
        </w:tblPrEx>
        <w:trPr>
          <w:trHeight w:val="683" w:hRule="atLeast"/>
        </w:trPr>
        <w:tc>
          <w:tcPr>
            <w:tcW w:w="4643" w:type="dxa"/>
            <w:noWrap w:val="0"/>
            <w:vAlign w:val="center"/>
          </w:tcPr>
          <w:p>
            <w:pPr>
              <w:widowControl w:val="0"/>
              <w:adjustRightInd w:val="0"/>
              <w:snapToGrid w:val="0"/>
              <w:spacing w:line="360" w:lineRule="auto"/>
              <w:jc w:val="both"/>
              <w:outlineLvl w:val="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法定代表人：</w:t>
            </w:r>
          </w:p>
          <w:p>
            <w:pPr>
              <w:widowControl w:val="0"/>
              <w:adjustRightInd w:val="0"/>
              <w:snapToGrid w:val="0"/>
              <w:spacing w:line="360" w:lineRule="auto"/>
              <w:jc w:val="both"/>
              <w:outlineLvl w:val="0"/>
              <w:rPr>
                <w:rFonts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或其授权代理人(签字)：</w:t>
            </w:r>
          </w:p>
        </w:tc>
        <w:tc>
          <w:tcPr>
            <w:tcW w:w="4643" w:type="dxa"/>
            <w:noWrap w:val="0"/>
            <w:vAlign w:val="center"/>
          </w:tcPr>
          <w:p>
            <w:pPr>
              <w:widowControl w:val="0"/>
              <w:adjustRightInd w:val="0"/>
              <w:snapToGrid w:val="0"/>
              <w:spacing w:line="360" w:lineRule="auto"/>
              <w:jc w:val="both"/>
              <w:outlineLvl w:val="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法定代表人：</w:t>
            </w:r>
          </w:p>
          <w:p>
            <w:pPr>
              <w:widowControl w:val="0"/>
              <w:adjustRightInd w:val="0"/>
              <w:snapToGrid w:val="0"/>
              <w:spacing w:line="360" w:lineRule="auto"/>
              <w:jc w:val="both"/>
              <w:outlineLvl w:val="0"/>
              <w:rPr>
                <w:rFonts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或其授权代理人(签字)：</w:t>
            </w:r>
          </w:p>
        </w:tc>
      </w:tr>
      <w:tr>
        <w:tblPrEx>
          <w:tblCellMar>
            <w:top w:w="0" w:type="dxa"/>
            <w:left w:w="108" w:type="dxa"/>
            <w:bottom w:w="0" w:type="dxa"/>
            <w:right w:w="108" w:type="dxa"/>
          </w:tblCellMar>
        </w:tblPrEx>
        <w:tc>
          <w:tcPr>
            <w:tcW w:w="4643" w:type="dxa"/>
            <w:noWrap w:val="0"/>
            <w:vAlign w:val="center"/>
          </w:tcPr>
          <w:p>
            <w:pPr>
              <w:widowControl w:val="0"/>
              <w:adjustRightInd w:val="0"/>
              <w:snapToGrid w:val="0"/>
              <w:spacing w:line="360" w:lineRule="auto"/>
              <w:jc w:val="both"/>
              <w:outlineLvl w:val="0"/>
              <w:rPr>
                <w:rFonts w:hint="default" w:ascii="宋体" w:hAnsi="宋体" w:eastAsia="宋体" w:cs="宋体"/>
                <w:b/>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地址</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（必填）甘肃省兰州市榆中县来紫堡乡冯湾等四村</w:t>
            </w:r>
          </w:p>
        </w:tc>
        <w:tc>
          <w:tcPr>
            <w:tcW w:w="4643" w:type="dxa"/>
            <w:noWrap w:val="0"/>
            <w:vAlign w:val="center"/>
          </w:tcPr>
          <w:p>
            <w:pPr>
              <w:widowControl w:val="0"/>
              <w:adjustRightInd w:val="0"/>
              <w:snapToGrid w:val="0"/>
              <w:spacing w:line="360" w:lineRule="auto"/>
              <w:jc w:val="both"/>
              <w:outlineLvl w:val="0"/>
              <w:rPr>
                <w:rFonts w:ascii="宋体" w:hAnsi="宋体" w:eastAsia="宋体" w:cs="宋体"/>
                <w:b/>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地址</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（必填）</w:t>
            </w:r>
          </w:p>
        </w:tc>
      </w:tr>
      <w:tr>
        <w:tblPrEx>
          <w:tblCellMar>
            <w:top w:w="0" w:type="dxa"/>
            <w:left w:w="108" w:type="dxa"/>
            <w:bottom w:w="0" w:type="dxa"/>
            <w:right w:w="108" w:type="dxa"/>
          </w:tblCellMar>
        </w:tblPrEx>
        <w:tc>
          <w:tcPr>
            <w:tcW w:w="4643" w:type="dxa"/>
            <w:noWrap w:val="0"/>
            <w:vAlign w:val="center"/>
          </w:tcPr>
          <w:p>
            <w:pPr>
              <w:widowControl w:val="0"/>
              <w:adjustRightInd w:val="0"/>
              <w:snapToGrid w:val="0"/>
              <w:spacing w:line="360" w:lineRule="auto"/>
              <w:jc w:val="both"/>
              <w:outlineLvl w:val="0"/>
              <w:rPr>
                <w:rFonts w:hint="default"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邮编：</w:t>
            </w:r>
            <w:r>
              <w:rPr>
                <w:rFonts w:hint="eastAsia" w:ascii="宋体" w:hAnsi="宋体" w:cs="宋体"/>
                <w:color w:val="auto"/>
                <w:kern w:val="2"/>
                <w:sz w:val="21"/>
                <w:szCs w:val="21"/>
                <w:highlight w:val="none"/>
                <w:lang w:val="en-US" w:eastAsia="zh-CN" w:bidi="ar-SA"/>
              </w:rPr>
              <w:t>（必填）730100</w:t>
            </w:r>
          </w:p>
        </w:tc>
        <w:tc>
          <w:tcPr>
            <w:tcW w:w="4643" w:type="dxa"/>
            <w:noWrap w:val="0"/>
            <w:vAlign w:val="center"/>
          </w:tcPr>
          <w:p>
            <w:pPr>
              <w:widowControl w:val="0"/>
              <w:adjustRightInd w:val="0"/>
              <w:snapToGrid w:val="0"/>
              <w:spacing w:line="360" w:lineRule="auto"/>
              <w:jc w:val="both"/>
              <w:outlineLvl w:val="0"/>
              <w:rPr>
                <w:rFonts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邮编：</w:t>
            </w:r>
            <w:r>
              <w:rPr>
                <w:rFonts w:hint="eastAsia" w:ascii="宋体" w:hAnsi="宋体" w:cs="宋体"/>
                <w:color w:val="auto"/>
                <w:kern w:val="2"/>
                <w:sz w:val="21"/>
                <w:szCs w:val="21"/>
                <w:highlight w:val="none"/>
                <w:lang w:val="en-US" w:eastAsia="zh-CN" w:bidi="ar-SA"/>
              </w:rPr>
              <w:t>（必填）</w:t>
            </w:r>
          </w:p>
        </w:tc>
      </w:tr>
      <w:tr>
        <w:tblPrEx>
          <w:tblCellMar>
            <w:top w:w="0" w:type="dxa"/>
            <w:left w:w="108" w:type="dxa"/>
            <w:bottom w:w="0" w:type="dxa"/>
            <w:right w:w="108" w:type="dxa"/>
          </w:tblCellMar>
        </w:tblPrEx>
        <w:tc>
          <w:tcPr>
            <w:tcW w:w="4643" w:type="dxa"/>
            <w:noWrap w:val="0"/>
            <w:vAlign w:val="center"/>
          </w:tcPr>
          <w:p>
            <w:pPr>
              <w:widowControl w:val="0"/>
              <w:adjustRightInd w:val="0"/>
              <w:snapToGrid w:val="0"/>
              <w:spacing w:line="360" w:lineRule="auto"/>
              <w:jc w:val="both"/>
              <w:outlineLvl w:val="0"/>
              <w:rPr>
                <w:rFonts w:hint="default"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开户行：</w:t>
            </w:r>
            <w:r>
              <w:rPr>
                <w:rFonts w:hint="eastAsia" w:ascii="宋体" w:hAnsi="宋体" w:cs="宋体"/>
                <w:color w:val="auto"/>
                <w:kern w:val="2"/>
                <w:sz w:val="21"/>
                <w:szCs w:val="21"/>
                <w:highlight w:val="none"/>
                <w:lang w:val="en-US" w:eastAsia="zh-CN" w:bidi="ar-SA"/>
              </w:rPr>
              <w:t>（必填）农行兰州秦安路支行</w:t>
            </w:r>
          </w:p>
        </w:tc>
        <w:tc>
          <w:tcPr>
            <w:tcW w:w="4643" w:type="dxa"/>
            <w:noWrap w:val="0"/>
            <w:vAlign w:val="center"/>
          </w:tcPr>
          <w:p>
            <w:pPr>
              <w:widowControl w:val="0"/>
              <w:adjustRightInd w:val="0"/>
              <w:snapToGrid w:val="0"/>
              <w:spacing w:line="360" w:lineRule="auto"/>
              <w:jc w:val="both"/>
              <w:outlineLvl w:val="0"/>
              <w:rPr>
                <w:rFonts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开户行：</w:t>
            </w:r>
            <w:r>
              <w:rPr>
                <w:rFonts w:hint="eastAsia" w:ascii="宋体" w:hAnsi="宋体" w:cs="宋体"/>
                <w:color w:val="auto"/>
                <w:kern w:val="2"/>
                <w:sz w:val="21"/>
                <w:szCs w:val="21"/>
                <w:highlight w:val="none"/>
                <w:lang w:val="en-US" w:eastAsia="zh-CN" w:bidi="ar-SA"/>
              </w:rPr>
              <w:t>（必填）</w:t>
            </w:r>
          </w:p>
        </w:tc>
      </w:tr>
      <w:tr>
        <w:tblPrEx>
          <w:tblCellMar>
            <w:top w:w="0" w:type="dxa"/>
            <w:left w:w="108" w:type="dxa"/>
            <w:bottom w:w="0" w:type="dxa"/>
            <w:right w:w="108" w:type="dxa"/>
          </w:tblCellMar>
        </w:tblPrEx>
        <w:tc>
          <w:tcPr>
            <w:tcW w:w="4643" w:type="dxa"/>
            <w:noWrap w:val="0"/>
            <w:vAlign w:val="center"/>
          </w:tcPr>
          <w:p>
            <w:pPr>
              <w:widowControl w:val="0"/>
              <w:adjustRightInd w:val="0"/>
              <w:snapToGrid w:val="0"/>
              <w:spacing w:line="360" w:lineRule="auto"/>
              <w:jc w:val="both"/>
              <w:outlineLvl w:val="0"/>
              <w:rPr>
                <w:rFonts w:hint="default"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账号：</w:t>
            </w:r>
            <w:r>
              <w:rPr>
                <w:rFonts w:hint="eastAsia" w:ascii="宋体" w:hAnsi="宋体" w:cs="宋体"/>
                <w:color w:val="auto"/>
                <w:kern w:val="2"/>
                <w:sz w:val="21"/>
                <w:szCs w:val="21"/>
                <w:highlight w:val="none"/>
                <w:lang w:val="en-US" w:eastAsia="zh-CN" w:bidi="ar-SA"/>
              </w:rPr>
              <w:t>（必填）27026601040011558</w:t>
            </w:r>
          </w:p>
        </w:tc>
        <w:tc>
          <w:tcPr>
            <w:tcW w:w="4643" w:type="dxa"/>
            <w:noWrap w:val="0"/>
            <w:vAlign w:val="center"/>
          </w:tcPr>
          <w:p>
            <w:pPr>
              <w:widowControl w:val="0"/>
              <w:adjustRightInd w:val="0"/>
              <w:snapToGrid w:val="0"/>
              <w:spacing w:line="360" w:lineRule="auto"/>
              <w:jc w:val="both"/>
              <w:outlineLvl w:val="0"/>
              <w:rPr>
                <w:rFonts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账号：</w:t>
            </w:r>
            <w:r>
              <w:rPr>
                <w:rFonts w:hint="eastAsia" w:ascii="宋体" w:hAnsi="宋体" w:cs="宋体"/>
                <w:color w:val="auto"/>
                <w:kern w:val="2"/>
                <w:sz w:val="21"/>
                <w:szCs w:val="21"/>
                <w:highlight w:val="none"/>
                <w:lang w:val="en-US" w:eastAsia="zh-CN" w:bidi="ar-SA"/>
              </w:rPr>
              <w:t>（必填）</w:t>
            </w:r>
          </w:p>
        </w:tc>
      </w:tr>
      <w:tr>
        <w:tblPrEx>
          <w:tblCellMar>
            <w:top w:w="0" w:type="dxa"/>
            <w:left w:w="108" w:type="dxa"/>
            <w:bottom w:w="0" w:type="dxa"/>
            <w:right w:w="108" w:type="dxa"/>
          </w:tblCellMar>
        </w:tblPrEx>
        <w:tc>
          <w:tcPr>
            <w:tcW w:w="4643" w:type="dxa"/>
            <w:noWrap w:val="0"/>
            <w:vAlign w:val="center"/>
          </w:tcPr>
          <w:p>
            <w:pPr>
              <w:widowControl w:val="0"/>
              <w:adjustRightInd w:val="0"/>
              <w:snapToGrid w:val="0"/>
              <w:spacing w:line="360" w:lineRule="auto"/>
              <w:jc w:val="both"/>
              <w:outlineLvl w:val="0"/>
              <w:rPr>
                <w:rFonts w:hint="default"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统一社会信用代码：</w:t>
            </w:r>
            <w:r>
              <w:rPr>
                <w:rFonts w:hint="eastAsia" w:ascii="宋体" w:hAnsi="宋体" w:cs="宋体"/>
                <w:color w:val="auto"/>
                <w:kern w:val="2"/>
                <w:sz w:val="21"/>
                <w:szCs w:val="21"/>
                <w:highlight w:val="none"/>
                <w:lang w:val="en-US" w:eastAsia="zh-CN" w:bidi="ar-SA"/>
              </w:rPr>
              <w:t>（必填）91620123556299271D</w:t>
            </w:r>
          </w:p>
        </w:tc>
        <w:tc>
          <w:tcPr>
            <w:tcW w:w="4643" w:type="dxa"/>
            <w:noWrap w:val="0"/>
            <w:vAlign w:val="center"/>
          </w:tcPr>
          <w:p>
            <w:pPr>
              <w:widowControl w:val="0"/>
              <w:adjustRightInd w:val="0"/>
              <w:snapToGrid w:val="0"/>
              <w:spacing w:line="360" w:lineRule="auto"/>
              <w:jc w:val="both"/>
              <w:outlineLvl w:val="0"/>
              <w:rPr>
                <w:rFonts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统一社会信用代码：</w:t>
            </w:r>
            <w:r>
              <w:rPr>
                <w:rFonts w:hint="eastAsia" w:ascii="宋体" w:hAnsi="宋体" w:cs="宋体"/>
                <w:color w:val="auto"/>
                <w:kern w:val="2"/>
                <w:sz w:val="21"/>
                <w:szCs w:val="21"/>
                <w:highlight w:val="none"/>
                <w:lang w:val="en-US" w:eastAsia="zh-CN" w:bidi="ar-SA"/>
              </w:rPr>
              <w:t>（必填）</w:t>
            </w:r>
          </w:p>
        </w:tc>
      </w:tr>
      <w:tr>
        <w:tblPrEx>
          <w:tblCellMar>
            <w:top w:w="0" w:type="dxa"/>
            <w:left w:w="108" w:type="dxa"/>
            <w:bottom w:w="0" w:type="dxa"/>
            <w:right w:w="108" w:type="dxa"/>
          </w:tblCellMar>
        </w:tblPrEx>
        <w:tc>
          <w:tcPr>
            <w:tcW w:w="4643" w:type="dxa"/>
            <w:noWrap w:val="0"/>
            <w:vAlign w:val="center"/>
          </w:tcPr>
          <w:p>
            <w:pPr>
              <w:widowControl w:val="0"/>
              <w:adjustRightInd w:val="0"/>
              <w:snapToGrid w:val="0"/>
              <w:spacing w:line="360" w:lineRule="auto"/>
              <w:jc w:val="both"/>
              <w:outlineLvl w:val="0"/>
              <w:rPr>
                <w:rFonts w:hint="default"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合同联系人及电话：</w:t>
            </w:r>
            <w:r>
              <w:rPr>
                <w:rFonts w:hint="eastAsia" w:ascii="宋体" w:hAnsi="宋体" w:cs="宋体"/>
                <w:color w:val="auto"/>
                <w:kern w:val="2"/>
                <w:sz w:val="21"/>
                <w:szCs w:val="21"/>
                <w:highlight w:val="none"/>
                <w:lang w:val="en-US" w:eastAsia="zh-CN" w:bidi="ar-SA"/>
              </w:rPr>
              <w:t>（必填）张定辉15352170934</w:t>
            </w:r>
          </w:p>
        </w:tc>
        <w:tc>
          <w:tcPr>
            <w:tcW w:w="4643" w:type="dxa"/>
            <w:noWrap w:val="0"/>
            <w:vAlign w:val="center"/>
          </w:tcPr>
          <w:p>
            <w:pPr>
              <w:widowControl w:val="0"/>
              <w:adjustRightInd w:val="0"/>
              <w:snapToGrid w:val="0"/>
              <w:spacing w:line="360" w:lineRule="auto"/>
              <w:jc w:val="both"/>
              <w:outlineLvl w:val="0"/>
              <w:rPr>
                <w:rFonts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合同联系人及电话：</w:t>
            </w:r>
            <w:r>
              <w:rPr>
                <w:rFonts w:hint="eastAsia" w:ascii="宋体" w:hAnsi="宋体" w:cs="宋体"/>
                <w:color w:val="auto"/>
                <w:kern w:val="2"/>
                <w:sz w:val="21"/>
                <w:szCs w:val="21"/>
                <w:highlight w:val="none"/>
                <w:lang w:val="en-US" w:eastAsia="zh-CN" w:bidi="ar-SA"/>
              </w:rPr>
              <w:t>（必填）</w:t>
            </w:r>
          </w:p>
        </w:tc>
      </w:tr>
      <w:tr>
        <w:tblPrEx>
          <w:tblCellMar>
            <w:top w:w="0" w:type="dxa"/>
            <w:left w:w="108" w:type="dxa"/>
            <w:bottom w:w="0" w:type="dxa"/>
            <w:right w:w="108" w:type="dxa"/>
          </w:tblCellMar>
        </w:tblPrEx>
        <w:tc>
          <w:tcPr>
            <w:tcW w:w="4643" w:type="dxa"/>
            <w:noWrap w:val="0"/>
            <w:vAlign w:val="center"/>
          </w:tcPr>
          <w:p>
            <w:pPr>
              <w:widowControl w:val="0"/>
              <w:adjustRightInd w:val="0"/>
              <w:snapToGrid w:val="0"/>
              <w:spacing w:line="360" w:lineRule="auto"/>
              <w:jc w:val="both"/>
              <w:outlineLvl w:val="0"/>
              <w:rPr>
                <w:rFonts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日期：       年    月    日</w:t>
            </w:r>
          </w:p>
        </w:tc>
        <w:tc>
          <w:tcPr>
            <w:tcW w:w="4643" w:type="dxa"/>
            <w:noWrap w:val="0"/>
            <w:vAlign w:val="center"/>
          </w:tcPr>
          <w:p>
            <w:pPr>
              <w:widowControl w:val="0"/>
              <w:adjustRightInd w:val="0"/>
              <w:snapToGrid w:val="0"/>
              <w:spacing w:line="360" w:lineRule="auto"/>
              <w:jc w:val="both"/>
              <w:outlineLvl w:val="0"/>
              <w:rPr>
                <w:rFonts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日期：       年    月    日</w:t>
            </w:r>
          </w:p>
        </w:tc>
      </w:tr>
    </w:tbl>
    <w:p>
      <w:pPr>
        <w:pStyle w:val="2"/>
        <w:rPr>
          <w:rFonts w:hint="eastAsia"/>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ascii="宋体" w:hAnsi="宋体" w:eastAsia="宋体"/>
          <w:bCs/>
          <w:color w:val="auto"/>
          <w:sz w:val="21"/>
          <w:szCs w:val="21"/>
          <w:highlight w:val="none"/>
          <w:lang w:val="en-US" w:eastAsia="zh-CN"/>
        </w:rPr>
      </w:pPr>
      <w:r>
        <w:rPr>
          <w:rFonts w:hint="eastAsia" w:ascii="宋体"/>
          <w:bCs/>
          <w:color w:val="auto"/>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spacing w:line="240" w:lineRule="auto"/>
        <w:textAlignment w:val="auto"/>
        <w:rPr>
          <w:rFonts w:ascii="仿宋" w:hAnsi="仿宋" w:eastAsia="仿宋" w:cs="仿宋_GB2312"/>
          <w:color w:val="000000"/>
        </w:rPr>
      </w:pPr>
    </w:p>
    <w:p>
      <w:pPr>
        <w:keepNext w:val="0"/>
        <w:keepLines w:val="0"/>
        <w:pageBreakBefore w:val="0"/>
        <w:widowControl w:val="0"/>
        <w:kinsoku/>
        <w:wordWrap/>
        <w:overflowPunct/>
        <w:topLinePunct w:val="0"/>
        <w:autoSpaceDE/>
        <w:autoSpaceDN/>
        <w:bidi w:val="0"/>
        <w:spacing w:line="240" w:lineRule="auto"/>
        <w:textAlignment w:val="auto"/>
        <w:rPr>
          <w:rFonts w:ascii="仿宋" w:hAnsi="仿宋" w:eastAsia="仿宋"/>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60101010101"/>
    <w:charset w:val="86"/>
    <w:family w:val="modern"/>
    <w:pitch w:val="default"/>
    <w:sig w:usb0="800002BF" w:usb1="38CF7CFA" w:usb2="00000016" w:usb3="00000000" w:csb0="00040001" w:csb1="00000000"/>
  </w:font>
  <w:font w:name="楷体_GB2312">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716E02"/>
    <w:multiLevelType w:val="singleLevel"/>
    <w:tmpl w:val="B3716E02"/>
    <w:lvl w:ilvl="0" w:tentative="0">
      <w:start w:val="1"/>
      <w:numFmt w:val="chineseCounting"/>
      <w:suff w:val="space"/>
      <w:lvlText w:val="第%1条"/>
      <w:lvlJc w:val="left"/>
      <w:pPr>
        <w:tabs>
          <w:tab w:val="left" w:pos="0"/>
        </w:tabs>
      </w:pPr>
      <w:rPr>
        <w:rFonts w:hint="eastAsia"/>
        <w:b/>
        <w:bCs/>
      </w:rPr>
    </w:lvl>
  </w:abstractNum>
  <w:abstractNum w:abstractNumId="1">
    <w:nsid w:val="43650000"/>
    <w:multiLevelType w:val="singleLevel"/>
    <w:tmpl w:val="43650000"/>
    <w:lvl w:ilvl="0" w:tentative="0">
      <w:start w:val="1"/>
      <w:numFmt w:val="chineseCounting"/>
      <w:suff w:val="nothing"/>
      <w:lvlText w:val="（%1）"/>
      <w:lvlJc w:val="left"/>
      <w:rPr>
        <w:rFonts w:hint="eastAsia"/>
        <w:color w:val="auto"/>
      </w:rPr>
    </w:lvl>
  </w:abstractNum>
  <w:abstractNum w:abstractNumId="2">
    <w:nsid w:val="78B40F93"/>
    <w:multiLevelType w:val="singleLevel"/>
    <w:tmpl w:val="78B40F93"/>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35A11"/>
    <w:rsid w:val="000E4770"/>
    <w:rsid w:val="001877AF"/>
    <w:rsid w:val="002E3436"/>
    <w:rsid w:val="00335A11"/>
    <w:rsid w:val="00494607"/>
    <w:rsid w:val="006077AB"/>
    <w:rsid w:val="007A071A"/>
    <w:rsid w:val="0095463B"/>
    <w:rsid w:val="009C2D20"/>
    <w:rsid w:val="00A324AE"/>
    <w:rsid w:val="00B74C71"/>
    <w:rsid w:val="00C37E5E"/>
    <w:rsid w:val="00CB3C7D"/>
    <w:rsid w:val="00ED0CE8"/>
    <w:rsid w:val="04145D27"/>
    <w:rsid w:val="04586405"/>
    <w:rsid w:val="04754C23"/>
    <w:rsid w:val="076D0E62"/>
    <w:rsid w:val="0E253D25"/>
    <w:rsid w:val="11734F96"/>
    <w:rsid w:val="12BE5309"/>
    <w:rsid w:val="15BE2FFA"/>
    <w:rsid w:val="1A0D7209"/>
    <w:rsid w:val="1B9F18AD"/>
    <w:rsid w:val="23E676D0"/>
    <w:rsid w:val="25EA310D"/>
    <w:rsid w:val="269B6661"/>
    <w:rsid w:val="350A58AF"/>
    <w:rsid w:val="35126EDC"/>
    <w:rsid w:val="36736C78"/>
    <w:rsid w:val="3F0238D8"/>
    <w:rsid w:val="42C013AF"/>
    <w:rsid w:val="46EF44F5"/>
    <w:rsid w:val="47066658"/>
    <w:rsid w:val="4A450E36"/>
    <w:rsid w:val="5428517D"/>
    <w:rsid w:val="55125BE4"/>
    <w:rsid w:val="5D89144C"/>
    <w:rsid w:val="5F223D6B"/>
    <w:rsid w:val="61455A3C"/>
    <w:rsid w:val="658D23CD"/>
    <w:rsid w:val="680B6D59"/>
    <w:rsid w:val="6A861105"/>
    <w:rsid w:val="70A462F0"/>
    <w:rsid w:val="72B002DE"/>
    <w:rsid w:val="7722660E"/>
    <w:rsid w:val="78112F17"/>
    <w:rsid w:val="794C0116"/>
    <w:rsid w:val="79EB0B96"/>
    <w:rsid w:val="7D6D5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szCs w:val="28"/>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qFormat/>
    <w:uiPriority w:val="0"/>
    <w:rPr>
      <w:rFonts w:ascii="宋体" w:hAnsi="Courier New" w:cs="Courier New"/>
      <w:sz w:val="21"/>
      <w:szCs w:val="21"/>
    </w:rPr>
  </w:style>
  <w:style w:type="paragraph" w:styleId="3">
    <w:name w:val="Body Text Indent 2"/>
    <w:basedOn w:val="1"/>
    <w:qFormat/>
    <w:uiPriority w:val="0"/>
    <w:pPr>
      <w:ind w:firstLine="538" w:firstLineChars="192"/>
    </w:pPr>
    <w:rPr>
      <w:rFonts w:ascii="仿宋_GB2312" w:eastAsia="楷体_GB2312"/>
      <w:sz w:val="2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0"/>
    <w:pPr>
      <w:spacing w:before="240" w:after="60"/>
      <w:jc w:val="center"/>
      <w:outlineLvl w:val="0"/>
    </w:pPr>
    <w:rPr>
      <w:rFonts w:ascii="Cambria" w:hAnsi="Cambria" w:cs="Times New Roman"/>
      <w:b/>
      <w:bCs/>
      <w:sz w:val="32"/>
      <w:szCs w:val="32"/>
    </w:rPr>
  </w:style>
  <w:style w:type="character" w:customStyle="1" w:styleId="9">
    <w:name w:val="font11"/>
    <w:basedOn w:val="8"/>
    <w:qFormat/>
    <w:uiPriority w:val="0"/>
    <w:rPr>
      <w:rFonts w:ascii="仿宋_GB2312" w:eastAsia="仿宋_GB2312" w:cs="仿宋_GB2312"/>
      <w:color w:val="000000"/>
      <w:sz w:val="20"/>
      <w:szCs w:val="20"/>
      <w:u w:val="none"/>
    </w:rPr>
  </w:style>
  <w:style w:type="character" w:customStyle="1" w:styleId="10">
    <w:name w:val="font21"/>
    <w:basedOn w:val="8"/>
    <w:qFormat/>
    <w:uiPriority w:val="0"/>
    <w:rPr>
      <w:rFonts w:hint="default" w:ascii="仿宋" w:hAnsi="仿宋" w:eastAsia="仿宋" w:cs="仿宋"/>
      <w:color w:val="000000"/>
      <w:sz w:val="20"/>
      <w:szCs w:val="20"/>
      <w:u w:val="none"/>
    </w:rPr>
  </w:style>
  <w:style w:type="character" w:customStyle="1" w:styleId="11">
    <w:name w:val="页眉 Char"/>
    <w:basedOn w:val="8"/>
    <w:link w:val="5"/>
    <w:qFormat/>
    <w:uiPriority w:val="0"/>
    <w:rPr>
      <w:rFonts w:ascii="Calibri" w:hAnsi="Calibri"/>
      <w:kern w:val="2"/>
      <w:sz w:val="18"/>
      <w:szCs w:val="18"/>
    </w:rPr>
  </w:style>
  <w:style w:type="character" w:customStyle="1" w:styleId="12">
    <w:name w:val="页脚 Char"/>
    <w:basedOn w:val="8"/>
    <w:link w:val="4"/>
    <w:qFormat/>
    <w:uiPriority w:val="0"/>
    <w:rPr>
      <w:rFonts w:ascii="Calibri" w:hAnsi="Calibri"/>
      <w:kern w:val="2"/>
      <w:sz w:val="18"/>
      <w:szCs w:val="18"/>
    </w:rPr>
  </w:style>
  <w:style w:type="character" w:customStyle="1" w:styleId="13">
    <w:name w:val="纯文本 Char"/>
    <w:basedOn w:val="8"/>
    <w:link w:val="2"/>
    <w:qFormat/>
    <w:uiPriority w:val="0"/>
    <w:rPr>
      <w:rFonts w:ascii="宋体" w:hAnsi="Courier New" w:cs="Courier New"/>
      <w:kern w:val="2"/>
      <w:sz w:val="21"/>
      <w:szCs w:val="21"/>
    </w:rPr>
  </w:style>
  <w:style w:type="paragraph" w:customStyle="1" w:styleId="14">
    <w:name w:val="缺省文本"/>
    <w:basedOn w:val="1"/>
    <w:qFormat/>
    <w:uiPriority w:val="0"/>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1073</Words>
  <Characters>6119</Characters>
  <Lines>50</Lines>
  <Paragraphs>14</Paragraphs>
  <TotalTime>7</TotalTime>
  <ScaleCrop>false</ScaleCrop>
  <LinksUpToDate>false</LinksUpToDate>
  <CharactersWithSpaces>7178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2020-07-10T07:49:00Z</dcterms:created>
  <dc:creator>suxuming</dc:creator>
  <cp:lastModifiedBy>张定辉</cp:lastModifiedBy>
  <dcterms:modified xsi:type="dcterms:W3CDTF">2021-11-04T02:32:46Z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22DCF39CE36C43E69743A0FAD87AD279</vt:lpwstr>
  </property>
</Properties>
</file>