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712BE"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甘肃东兴铝业有限公司陇西分公司</w:t>
      </w:r>
    </w:p>
    <w:p w14:paraId="4638C824">
      <w:pPr>
        <w:jc w:val="center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隔热耐火砖供货技术规格书</w:t>
      </w:r>
    </w:p>
    <w:p w14:paraId="4BD0A355">
      <w:pPr>
        <w:jc w:val="both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</w:rPr>
        <w:t>需方（甲方）：甘肃东兴铝业有限公司陇西分公司</w:t>
      </w:r>
    </w:p>
    <w:p w14:paraId="2F7A27CE">
      <w:pPr>
        <w:jc w:val="both"/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供方（乙方）：</w:t>
      </w:r>
    </w:p>
    <w:p w14:paraId="6687802B">
      <w:pPr>
        <w:ind w:firstLine="537" w:firstLineChars="192"/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就甘肃东兴铝业有限公司陇西分公司铝电解用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隔热耐火砖</w:t>
      </w:r>
      <w:r>
        <w:rPr>
          <w:rFonts w:hint="eastAsia" w:ascii="仿宋_GB2312" w:hAnsi="华文中宋" w:eastAsia="仿宋_GB2312"/>
          <w:b w:val="0"/>
          <w:bCs w:val="0"/>
          <w:sz w:val="28"/>
          <w:szCs w:val="28"/>
          <w:lang w:val="en-US" w:eastAsia="zh-CN"/>
        </w:rPr>
        <w:t>所涉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及的质量技术要求及其他使用要求进行标前技术沟通，达成一致形成以下条款：</w:t>
      </w:r>
    </w:p>
    <w:p w14:paraId="5788EF68">
      <w:pPr>
        <w:numPr>
          <w:ilvl w:val="0"/>
          <w:numId w:val="0"/>
        </w:numPr>
        <w:ind w:firstLine="560" w:firstLineChars="200"/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1.供货范围</w:t>
      </w:r>
    </w:p>
    <w:tbl>
      <w:tblPr>
        <w:tblStyle w:val="6"/>
        <w:tblpPr w:leftFromText="180" w:rightFromText="180" w:vertAnchor="text" w:horzAnchor="page" w:tblpX="2985" w:tblpY="438"/>
        <w:tblOverlap w:val="never"/>
        <w:tblW w:w="6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176"/>
        <w:gridCol w:w="659"/>
        <w:gridCol w:w="1707"/>
      </w:tblGrid>
      <w:tr w14:paraId="111A4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 w14:paraId="317862BA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176" w:type="dxa"/>
          </w:tcPr>
          <w:p w14:paraId="103DB191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规格型号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（mm）</w:t>
            </w:r>
          </w:p>
        </w:tc>
        <w:tc>
          <w:tcPr>
            <w:tcW w:w="659" w:type="dxa"/>
          </w:tcPr>
          <w:p w14:paraId="6CA5D68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单位</w:t>
            </w:r>
          </w:p>
        </w:tc>
        <w:tc>
          <w:tcPr>
            <w:tcW w:w="1707" w:type="dxa"/>
          </w:tcPr>
          <w:p w14:paraId="77887B18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</w:tr>
      <w:tr w14:paraId="3D9FD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 w14:paraId="0D2AF464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隔热耐火砖</w:t>
            </w:r>
          </w:p>
        </w:tc>
        <w:tc>
          <w:tcPr>
            <w:tcW w:w="2176" w:type="dxa"/>
            <w:vAlign w:val="center"/>
          </w:tcPr>
          <w:p w14:paraId="2E57F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65*114*305-0.6</w:t>
            </w:r>
          </w:p>
        </w:tc>
        <w:tc>
          <w:tcPr>
            <w:tcW w:w="659" w:type="dxa"/>
          </w:tcPr>
          <w:p w14:paraId="4A9982E2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吨</w:t>
            </w:r>
          </w:p>
        </w:tc>
        <w:tc>
          <w:tcPr>
            <w:tcW w:w="1707" w:type="dxa"/>
            <w:vAlign w:val="center"/>
          </w:tcPr>
          <w:p w14:paraId="74310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 w14:paraId="042A5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4" w:type="dxa"/>
          </w:tcPr>
          <w:p w14:paraId="27F73A82"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隔热耐火砖</w:t>
            </w:r>
          </w:p>
        </w:tc>
        <w:tc>
          <w:tcPr>
            <w:tcW w:w="2176" w:type="dxa"/>
            <w:vAlign w:val="center"/>
          </w:tcPr>
          <w:p w14:paraId="577F6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65*114*230-0.6</w:t>
            </w:r>
          </w:p>
        </w:tc>
        <w:tc>
          <w:tcPr>
            <w:tcW w:w="659" w:type="dxa"/>
          </w:tcPr>
          <w:p w14:paraId="197E52A6">
            <w:pPr>
              <w:numPr>
                <w:ilvl w:val="0"/>
                <w:numId w:val="0"/>
              </w:num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吨</w:t>
            </w:r>
          </w:p>
        </w:tc>
        <w:tc>
          <w:tcPr>
            <w:tcW w:w="1707" w:type="dxa"/>
            <w:vAlign w:val="center"/>
          </w:tcPr>
          <w:p w14:paraId="612CA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</w:t>
            </w:r>
          </w:p>
        </w:tc>
      </w:tr>
    </w:tbl>
    <w:p w14:paraId="2BE3B560">
      <w:pPr>
        <w:numPr>
          <w:ilvl w:val="0"/>
          <w:numId w:val="1"/>
        </w:numPr>
        <w:ind w:firstLine="560" w:firstLineChars="200"/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产品质量要求</w:t>
      </w:r>
      <w:bookmarkStart w:id="0" w:name="_GoBack"/>
      <w:bookmarkEnd w:id="0"/>
    </w:p>
    <w:p w14:paraId="0DB4D248">
      <w:pPr>
        <w:numPr>
          <w:ilvl w:val="0"/>
          <w:numId w:val="0"/>
        </w:numPr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</w:p>
    <w:tbl>
      <w:tblPr>
        <w:tblStyle w:val="5"/>
        <w:tblpPr w:leftFromText="180" w:rightFromText="180" w:vertAnchor="text" w:horzAnchor="page" w:tblpX="2697" w:tblpY="621"/>
        <w:tblOverlap w:val="never"/>
        <w:tblW w:w="650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3519"/>
        <w:gridCol w:w="1464"/>
      </w:tblGrid>
      <w:tr w14:paraId="6A19F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05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名称</w:t>
            </w:r>
          </w:p>
        </w:tc>
        <w:tc>
          <w:tcPr>
            <w:tcW w:w="49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0908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理化指标</w:t>
            </w:r>
          </w:p>
        </w:tc>
      </w:tr>
      <w:tr w14:paraId="617165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47E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隔热耐火砖</w:t>
            </w:r>
          </w:p>
        </w:tc>
        <w:tc>
          <w:tcPr>
            <w:tcW w:w="3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F2E40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体积密度(g/cm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)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AC0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≤0.6</w:t>
            </w:r>
          </w:p>
        </w:tc>
      </w:tr>
      <w:tr w14:paraId="5D11A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935FB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D8B01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导热系数350±25℃（W/m•k）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B75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≤0.25</w:t>
            </w:r>
          </w:p>
        </w:tc>
      </w:tr>
      <w:tr w14:paraId="6DA825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49106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A3CC9E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加热永久变化（试验温度1200℃*12h）（%）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EC4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-2～1</w:t>
            </w:r>
          </w:p>
        </w:tc>
      </w:tr>
      <w:tr w14:paraId="769F6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5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BD7F8F">
            <w:pPr>
              <w:jc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D05D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常温抗压强度(MPa)</w:t>
            </w:r>
          </w:p>
        </w:tc>
        <w:tc>
          <w:tcPr>
            <w:tcW w:w="1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8DF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auto"/>
                <w:sz w:val="28"/>
                <w:szCs w:val="28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≥1.3</w:t>
            </w:r>
          </w:p>
        </w:tc>
      </w:tr>
    </w:tbl>
    <w:p w14:paraId="00E0745D">
      <w:pPr>
        <w:numPr>
          <w:ilvl w:val="0"/>
          <w:numId w:val="0"/>
        </w:numPr>
        <w:rPr>
          <w:rFonts w:hint="eastAsia" w:ascii="仿宋_GB2312" w:hAnsi="华文中宋" w:eastAsia="仿宋_GB2312"/>
          <w:sz w:val="28"/>
          <w:szCs w:val="28"/>
          <w:lang w:val="en-US" w:eastAsia="zh-CN"/>
        </w:rPr>
      </w:pPr>
    </w:p>
    <w:p w14:paraId="7E1409B0">
      <w:pPr>
        <w:numPr>
          <w:ilvl w:val="0"/>
          <w:numId w:val="0"/>
        </w:numPr>
        <w:ind w:firstLine="840" w:firstLineChars="300"/>
        <w:rPr>
          <w:rStyle w:val="9"/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3.产品</w:t>
      </w:r>
      <w:r>
        <w:rPr>
          <w:rStyle w:val="9"/>
          <w:rFonts w:hint="eastAsia" w:ascii="仿宋_GB2312" w:hAnsi="宋体" w:eastAsia="仿宋_GB2312"/>
          <w:sz w:val="28"/>
          <w:szCs w:val="28"/>
          <w:lang w:eastAsia="zh-CN"/>
        </w:rPr>
        <w:t>售后</w:t>
      </w:r>
      <w:r>
        <w:rPr>
          <w:rStyle w:val="9"/>
          <w:rFonts w:hint="eastAsia" w:ascii="仿宋_GB2312" w:hAnsi="宋体" w:eastAsia="仿宋_GB2312"/>
          <w:sz w:val="28"/>
          <w:szCs w:val="28"/>
        </w:rPr>
        <w:t>服务</w:t>
      </w:r>
      <w:r>
        <w:rPr>
          <w:rStyle w:val="9"/>
          <w:rFonts w:hint="eastAsia" w:ascii="仿宋_GB2312" w:hAnsi="宋体" w:eastAsia="仿宋_GB2312"/>
          <w:sz w:val="28"/>
          <w:szCs w:val="28"/>
          <w:lang w:eastAsia="zh-CN"/>
        </w:rPr>
        <w:t>要求</w:t>
      </w:r>
    </w:p>
    <w:p w14:paraId="50565BC7">
      <w:pPr>
        <w:tabs>
          <w:tab w:val="left" w:pos="8280"/>
        </w:tabs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供方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产品在需方使用及投入生产过程中出现质量异议时</w:t>
      </w:r>
      <w:r>
        <w:rPr>
          <w:rFonts w:hint="eastAsia" w:ascii="仿宋_GB2312" w:hAnsi="宋体" w:eastAsia="仿宋_GB2312"/>
          <w:sz w:val="28"/>
          <w:szCs w:val="28"/>
        </w:rPr>
        <w:t>应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及时</w:t>
      </w:r>
      <w:r>
        <w:rPr>
          <w:rFonts w:hint="eastAsia" w:ascii="仿宋_GB2312" w:hAnsi="宋体" w:eastAsia="仿宋_GB2312"/>
          <w:sz w:val="28"/>
          <w:szCs w:val="28"/>
        </w:rPr>
        <w:t>派技术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人员</w:t>
      </w:r>
      <w:r>
        <w:rPr>
          <w:rFonts w:hint="eastAsia" w:ascii="仿宋_GB2312" w:hAnsi="宋体" w:eastAsia="仿宋_GB2312"/>
          <w:sz w:val="28"/>
          <w:szCs w:val="28"/>
        </w:rPr>
        <w:t>来现场进行技术交流并跟踪其产品使用情况。</w:t>
      </w:r>
    </w:p>
    <w:p w14:paraId="1199EC8D">
      <w:pPr>
        <w:numPr>
          <w:ilvl w:val="0"/>
          <w:numId w:val="0"/>
        </w:numPr>
        <w:ind w:left="0" w:leftChars="0" w:firstLine="560"/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4.产品供货期限：2025年12月15日前全部完成交货。</w:t>
      </w:r>
    </w:p>
    <w:p w14:paraId="2E05D248">
      <w:pPr>
        <w:numPr>
          <w:ilvl w:val="0"/>
          <w:numId w:val="0"/>
        </w:numPr>
        <w:ind w:firstLine="560" w:firstLineChars="200"/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5.产品验收</w:t>
      </w:r>
    </w:p>
    <w:p w14:paraId="545A7105">
      <w:pPr>
        <w:numPr>
          <w:ilvl w:val="0"/>
          <w:numId w:val="0"/>
        </w:numPr>
        <w:rPr>
          <w:rStyle w:val="9"/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 xml:space="preserve">    5.1数量验收：以买方过磅数量为准（包装不计重、不计价、不回收）。</w:t>
      </w:r>
    </w:p>
    <w:p w14:paraId="3389D59D">
      <w:pPr>
        <w:numPr>
          <w:ilvl w:val="0"/>
          <w:numId w:val="0"/>
        </w:numPr>
        <w:ind w:left="0" w:leftChars="0" w:firstLine="560" w:firstLineChars="200"/>
        <w:rPr>
          <w:rStyle w:val="9"/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5.2质量验收：物资到货后，由需方在5日内进行外在质量验收；如有外在质量问题，需方应在物资到货5日内向供方提出异议，供方应在接到异议通知3日内给予明确答复，过期则视为对异议的认可，需方可据此验收资料向卖方索赔。内在质量在货物交付后由供需双方取样送至第三方专业机构检验，检验费用由供方承担。如需在供方处取样，</w:t>
      </w:r>
      <w:r>
        <w:rPr>
          <w:rStyle w:val="9"/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需方提前电话通知。检验质量不合格时</w:t>
      </w:r>
      <w:r>
        <w:rPr>
          <w:rStyle w:val="9"/>
          <w:rFonts w:hint="eastAsia" w:ascii="仿宋_GB2312" w:hAnsi="宋体" w:eastAsia="仿宋_GB2312" w:cs="Times New Roman"/>
          <w:color w:val="auto"/>
          <w:sz w:val="28"/>
          <w:szCs w:val="28"/>
          <w:lang w:val="en-US" w:eastAsia="zh-CN"/>
        </w:rPr>
        <w:t>按买方《电解槽大修材料评判标准》降价或退货处理。</w:t>
      </w:r>
      <w:r>
        <w:rPr>
          <w:rStyle w:val="9"/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供</w:t>
      </w: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方若对第三方专业机构检验有异议而要求复检，复检费用仍由供方承担。</w:t>
      </w:r>
    </w:p>
    <w:p w14:paraId="6CDD2A26">
      <w:pPr>
        <w:numPr>
          <w:ilvl w:val="0"/>
          <w:numId w:val="0"/>
        </w:numPr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5.3取样标准：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依据粘土质隔热耐火砖GB/T3994-2013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和公司大修材料评判标准进行外观质量和理化指标检验判定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,按照每批垛数、排数、实际块数间隔均匀照顾全面，进行外观检查和取样（每批次100吨）。</w:t>
      </w:r>
    </w:p>
    <w:p w14:paraId="6670870D">
      <w:pPr>
        <w:numPr>
          <w:ilvl w:val="0"/>
          <w:numId w:val="0"/>
        </w:numPr>
        <w:ind w:firstLine="560" w:firstLineChars="200"/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6.协议有效期：自签订日起12个月。</w:t>
      </w:r>
    </w:p>
    <w:p w14:paraId="32D12861">
      <w:pPr>
        <w:numPr>
          <w:ilvl w:val="0"/>
          <w:numId w:val="0"/>
        </w:numPr>
        <w:ind w:left="0" w:leftChars="0" w:firstLine="560"/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Style w:val="9"/>
          <w:rFonts w:hint="eastAsia" w:ascii="仿宋_GB2312" w:hAnsi="宋体" w:eastAsia="仿宋_GB2312"/>
          <w:sz w:val="28"/>
          <w:szCs w:val="28"/>
          <w:lang w:val="en-US" w:eastAsia="zh-CN"/>
        </w:rPr>
        <w:t>7.本规格书与对应合同具有同等法律效力，经双方授权代表人或委托代理人签字盖章后正式生效。</w:t>
      </w:r>
    </w:p>
    <w:p w14:paraId="47C0B82A">
      <w:pPr>
        <w:widowControl/>
        <w:spacing w:line="480" w:lineRule="atLeast"/>
        <w:ind w:firstLine="537" w:firstLineChars="192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需方（甲方）：</w:t>
      </w:r>
      <w:r>
        <w:rPr>
          <w:rFonts w:hint="eastAsia" w:ascii="仿宋_GB2312" w:hAnsi="华文中宋" w:eastAsia="仿宋_GB2312"/>
          <w:sz w:val="28"/>
          <w:szCs w:val="28"/>
        </w:rPr>
        <w:t>甘肃东兴铝业有限公司陇西分公司</w:t>
      </w:r>
    </w:p>
    <w:p w14:paraId="2D553CC5">
      <w:pPr>
        <w:widowControl/>
        <w:spacing w:line="480" w:lineRule="atLeast"/>
        <w:ind w:firstLine="537" w:firstLineChars="192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需方（甲方）授权代表或委托代理人：</w:t>
      </w:r>
    </w:p>
    <w:p w14:paraId="2C9F0CB0">
      <w:pPr>
        <w:widowControl/>
        <w:spacing w:line="480" w:lineRule="atLeast"/>
        <w:ind w:firstLine="537" w:firstLineChars="192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签订日期：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>年  月   日</w:t>
      </w:r>
    </w:p>
    <w:p w14:paraId="2829CF96">
      <w:pPr>
        <w:widowControl/>
        <w:spacing w:line="480" w:lineRule="atLeast"/>
        <w:rPr>
          <w:rFonts w:hint="eastAsia" w:ascii="仿宋_GB2312" w:eastAsia="仿宋_GB2312"/>
          <w:kern w:val="0"/>
          <w:sz w:val="11"/>
          <w:szCs w:val="28"/>
        </w:rPr>
      </w:pPr>
    </w:p>
    <w:p w14:paraId="3A84129A">
      <w:pPr>
        <w:widowControl/>
        <w:spacing w:line="480" w:lineRule="atLeast"/>
        <w:ind w:firstLine="537" w:firstLineChars="192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供方（乙方）：</w:t>
      </w:r>
    </w:p>
    <w:p w14:paraId="3CB415CB">
      <w:pPr>
        <w:widowControl/>
        <w:spacing w:line="480" w:lineRule="atLeast"/>
        <w:ind w:firstLine="537" w:firstLineChars="192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供方（乙方）授权代表或委托代理人：</w:t>
      </w:r>
    </w:p>
    <w:p w14:paraId="17961030">
      <w:pPr>
        <w:widowControl/>
        <w:spacing w:line="480" w:lineRule="atLeast"/>
        <w:ind w:firstLine="537" w:firstLineChars="192"/>
        <w:rPr>
          <w:rFonts w:hint="eastAsia" w:ascii="仿宋_GB2312" w:eastAsia="仿宋_GB2312"/>
          <w:kern w:val="0"/>
          <w:sz w:val="28"/>
          <w:szCs w:val="28"/>
        </w:rPr>
      </w:pPr>
      <w:r>
        <w:rPr>
          <w:rFonts w:hint="eastAsia" w:ascii="仿宋_GB2312" w:eastAsia="仿宋_GB2312"/>
          <w:kern w:val="0"/>
          <w:sz w:val="28"/>
          <w:szCs w:val="28"/>
        </w:rPr>
        <w:t>签订日期：</w:t>
      </w:r>
      <w:r>
        <w:rPr>
          <w:rFonts w:hint="eastAsia" w:ascii="仿宋_GB2312" w:eastAsia="仿宋_GB2312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eastAsia="仿宋_GB2312"/>
          <w:kern w:val="0"/>
          <w:sz w:val="28"/>
          <w:szCs w:val="28"/>
        </w:rPr>
        <w:t>年  月   日</w:t>
      </w:r>
    </w:p>
    <w:p w14:paraId="08EBD3D8">
      <w:pPr>
        <w:jc w:val="both"/>
        <w:rPr>
          <w:rFonts w:hint="default" w:ascii="仿宋_GB2312" w:hAnsi="华文中宋" w:eastAsia="仿宋_GB2312"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A3144"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2000250" cy="514350"/>
          <wp:effectExtent l="0" t="0" r="0" b="0"/>
          <wp:docPr id="4" name="图片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25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305AC3"/>
    <w:multiLevelType w:val="singleLevel"/>
    <w:tmpl w:val="5C305AC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417C33"/>
    <w:rsid w:val="032C5527"/>
    <w:rsid w:val="077870D5"/>
    <w:rsid w:val="0B03263F"/>
    <w:rsid w:val="0BA1389B"/>
    <w:rsid w:val="13883547"/>
    <w:rsid w:val="189415F0"/>
    <w:rsid w:val="19DE56D2"/>
    <w:rsid w:val="1AC25072"/>
    <w:rsid w:val="1DD62D9C"/>
    <w:rsid w:val="1F51004A"/>
    <w:rsid w:val="204D60D5"/>
    <w:rsid w:val="23CA2CA1"/>
    <w:rsid w:val="2602767B"/>
    <w:rsid w:val="27F51106"/>
    <w:rsid w:val="2931135E"/>
    <w:rsid w:val="29C63738"/>
    <w:rsid w:val="2BE70C55"/>
    <w:rsid w:val="2C417C33"/>
    <w:rsid w:val="30DF26B6"/>
    <w:rsid w:val="35A75880"/>
    <w:rsid w:val="38FD7B65"/>
    <w:rsid w:val="3B0A74AD"/>
    <w:rsid w:val="3BAA4709"/>
    <w:rsid w:val="494C7893"/>
    <w:rsid w:val="4A1D1454"/>
    <w:rsid w:val="56C35E34"/>
    <w:rsid w:val="576B0FDC"/>
    <w:rsid w:val="5A0D30D2"/>
    <w:rsid w:val="5BD838C1"/>
    <w:rsid w:val="5D7D569B"/>
    <w:rsid w:val="5D8649AF"/>
    <w:rsid w:val="60E861AE"/>
    <w:rsid w:val="627B3174"/>
    <w:rsid w:val="66D85AED"/>
    <w:rsid w:val="68CD6AF3"/>
    <w:rsid w:val="6A7E11D7"/>
    <w:rsid w:val="6AB56E0F"/>
    <w:rsid w:val="6AC662B9"/>
    <w:rsid w:val="6C9B483D"/>
    <w:rsid w:val="750A1478"/>
    <w:rsid w:val="7C364EDD"/>
    <w:rsid w:val="7CF6791C"/>
    <w:rsid w:val="7DF0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spnmessagetext"/>
    <w:basedOn w:val="7"/>
    <w:qFormat/>
    <w:uiPriority w:val="0"/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perscript"/>
    </w:rPr>
  </w:style>
  <w:style w:type="character" w:customStyle="1" w:styleId="11">
    <w:name w:val="font5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bscript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  <w:vertAlign w:val="subscript"/>
    </w:rPr>
  </w:style>
  <w:style w:type="character" w:customStyle="1" w:styleId="14">
    <w:name w:val="font6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">
    <w:name w:val="font31"/>
    <w:basedOn w:val="7"/>
    <w:qFormat/>
    <w:uiPriority w:val="0"/>
    <w:rPr>
      <w:rFonts w:hint="eastAsia" w:ascii="宋体" w:hAnsi="宋体" w:eastAsia="宋体" w:cs="宋体"/>
      <w:color w:val="0000FF"/>
      <w:sz w:val="24"/>
      <w:szCs w:val="24"/>
      <w:u w:val="none"/>
      <w:vertAlign w:val="superscript"/>
    </w:rPr>
  </w:style>
  <w:style w:type="character" w:customStyle="1" w:styleId="16">
    <w:name w:val="font21"/>
    <w:basedOn w:val="7"/>
    <w:qFormat/>
    <w:uiPriority w:val="0"/>
    <w:rPr>
      <w:rFonts w:hint="eastAsia" w:ascii="宋体" w:hAnsi="宋体" w:eastAsia="宋体" w:cs="宋体"/>
      <w:color w:val="0000FF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789</Words>
  <Characters>879</Characters>
  <Lines>0</Lines>
  <Paragraphs>0</Paragraphs>
  <TotalTime>5</TotalTime>
  <ScaleCrop>false</ScaleCrop>
  <LinksUpToDate>false</LinksUpToDate>
  <CharactersWithSpaces>900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2020-02-15T06:52:00Z</dcterms:created>
  <dc:creator>wsj</dc:creator>
  <cp:lastModifiedBy>相濡以沫</cp:lastModifiedBy>
  <dcterms:modified xsi:type="dcterms:W3CDTF">2025-10-21T01:36:48Z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eyJoZGlkIjoiNWZmM2QyZWQ3YTNhMGZkNjcxMjRiMjliZDM4M2JjYTkiLCJ1c2VySWQiOiIyNDg1NDI5MjAifQ==</vt:lpwstr>
  </property>
  <property fmtid="{D5CDD505-2E9C-101B-9397-08002B2CF9AE}" pid="4" name="ICV">
    <vt:lpwstr>9DA7C4BEE009422D85A4FC4D26ED67C8_13</vt:lpwstr>
  </property>
</Properties>
</file>