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D5FE6">
      <w:pPr>
        <w:rPr>
          <w:rFonts w:hint="eastAsia" w:ascii="仿宋" w:hAnsi="仿宋" w:eastAsia="仿宋" w:cs="仿宋"/>
          <w:color w:val="auto"/>
        </w:rPr>
      </w:pPr>
    </w:p>
    <w:p w14:paraId="44BC3DE9">
      <w:pPr>
        <w:rPr>
          <w:rFonts w:hint="eastAsia" w:ascii="仿宋" w:hAnsi="仿宋" w:eastAsia="仿宋" w:cs="仿宋"/>
          <w:color w:val="auto"/>
        </w:rPr>
      </w:pPr>
    </w:p>
    <w:p w14:paraId="2DF4EAC4">
      <w:pPr>
        <w:jc w:val="center"/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44"/>
          <w:szCs w:val="44"/>
        </w:rPr>
        <w:t>甘肃</w:t>
      </w:r>
      <w:r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  <w:t>东兴嘉宇新材料</w:t>
      </w:r>
      <w:r>
        <w:rPr>
          <w:rFonts w:hint="eastAsia" w:ascii="仿宋" w:hAnsi="仿宋" w:cs="仿宋"/>
          <w:color w:val="auto"/>
          <w:sz w:val="44"/>
          <w:szCs w:val="44"/>
          <w:lang w:val="en-US" w:eastAsia="zh-CN"/>
        </w:rPr>
        <w:t>有限公司</w:t>
      </w:r>
    </w:p>
    <w:p w14:paraId="31B83664">
      <w:pPr>
        <w:jc w:val="center"/>
        <w:rPr>
          <w:rFonts w:hint="eastAsia" w:ascii="仿宋" w:hAnsi="仿宋" w:cs="仿宋"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cs="仿宋"/>
          <w:color w:val="auto"/>
          <w:sz w:val="44"/>
          <w:szCs w:val="44"/>
          <w:lang w:val="en-US" w:eastAsia="zh-CN"/>
        </w:rPr>
        <w:t>耐火材料（不含铸咀料）</w:t>
      </w:r>
    </w:p>
    <w:p w14:paraId="7EBD3D4E">
      <w:pPr>
        <w:jc w:val="center"/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</w:pPr>
    </w:p>
    <w:p w14:paraId="5C1F2023">
      <w:pPr>
        <w:jc w:val="center"/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  <w:t>技</w:t>
      </w:r>
    </w:p>
    <w:p w14:paraId="66B06CAC">
      <w:pPr>
        <w:jc w:val="center"/>
        <w:rPr>
          <w:rFonts w:hint="eastAsia" w:ascii="仿宋" w:hAnsi="仿宋" w:eastAsia="仿宋" w:cs="仿宋"/>
          <w:color w:val="auto"/>
          <w:sz w:val="44"/>
          <w:szCs w:val="44"/>
        </w:rPr>
      </w:pPr>
      <w:r>
        <w:rPr>
          <w:rFonts w:hint="eastAsia" w:ascii="仿宋" w:hAnsi="仿宋" w:eastAsia="仿宋" w:cs="仿宋"/>
          <w:color w:val="auto"/>
          <w:sz w:val="44"/>
          <w:szCs w:val="44"/>
        </w:rPr>
        <w:t>术</w:t>
      </w:r>
    </w:p>
    <w:p w14:paraId="46866182">
      <w:pPr>
        <w:jc w:val="center"/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  <w:t>规</w:t>
      </w:r>
    </w:p>
    <w:p w14:paraId="01EBE473">
      <w:pPr>
        <w:jc w:val="center"/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  <w:t>格</w:t>
      </w:r>
    </w:p>
    <w:p w14:paraId="2DF89B8C">
      <w:pPr>
        <w:jc w:val="center"/>
        <w:rPr>
          <w:rFonts w:hint="eastAsia" w:ascii="仿宋" w:hAnsi="仿宋" w:eastAsia="仿宋" w:cs="仿宋"/>
          <w:color w:val="auto"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44"/>
          <w:szCs w:val="44"/>
          <w:lang w:val="en-US" w:eastAsia="zh-CN"/>
        </w:rPr>
        <w:t>书</w:t>
      </w:r>
    </w:p>
    <w:p w14:paraId="02CE3293">
      <w:pPr>
        <w:rPr>
          <w:rFonts w:hint="eastAsia" w:ascii="仿宋" w:hAnsi="仿宋" w:eastAsia="仿宋" w:cs="仿宋"/>
          <w:color w:val="auto"/>
        </w:rPr>
      </w:pPr>
    </w:p>
    <w:p w14:paraId="2712EF72">
      <w:pPr>
        <w:rPr>
          <w:rFonts w:hint="eastAsia" w:ascii="仿宋" w:hAnsi="仿宋" w:eastAsia="仿宋" w:cs="仿宋"/>
          <w:color w:val="auto"/>
        </w:rPr>
      </w:pPr>
    </w:p>
    <w:p w14:paraId="25DB61CF">
      <w:pPr>
        <w:rPr>
          <w:rFonts w:hint="eastAsia" w:ascii="仿宋" w:hAnsi="仿宋" w:eastAsia="仿宋" w:cs="仿宋"/>
          <w:color w:val="auto"/>
        </w:rPr>
      </w:pPr>
    </w:p>
    <w:p w14:paraId="6A461C7B">
      <w:pPr>
        <w:rPr>
          <w:rFonts w:hint="eastAsia" w:ascii="仿宋" w:hAnsi="仿宋" w:eastAsia="仿宋" w:cs="仿宋"/>
          <w:color w:val="auto"/>
        </w:rPr>
      </w:pPr>
    </w:p>
    <w:p w14:paraId="4C7E53BD">
      <w:pPr>
        <w:rPr>
          <w:rFonts w:hint="eastAsia" w:ascii="仿宋" w:hAnsi="仿宋" w:eastAsia="仿宋" w:cs="仿宋"/>
          <w:color w:val="auto"/>
        </w:rPr>
      </w:pPr>
    </w:p>
    <w:p w14:paraId="4B4D0457">
      <w:pPr>
        <w:rPr>
          <w:rFonts w:hint="eastAsia" w:ascii="仿宋" w:hAnsi="仿宋" w:eastAsia="仿宋" w:cs="仿宋"/>
          <w:color w:val="auto"/>
        </w:rPr>
      </w:pPr>
    </w:p>
    <w:p w14:paraId="0B052BA9">
      <w:pPr>
        <w:ind w:firstLine="1600" w:firstLineChars="5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技术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规格书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编号：</w:t>
      </w:r>
    </w:p>
    <w:p w14:paraId="0763BF98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74AC1BC3">
      <w:pPr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34FE741B">
      <w:pPr>
        <w:ind w:firstLine="1280" w:firstLineChars="4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甲方：甘肃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东兴嘉宇新材料有限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公司</w:t>
      </w:r>
    </w:p>
    <w:p w14:paraId="087B5824">
      <w:pPr>
        <w:ind w:firstLine="1280" w:firstLineChars="4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乙方：</w:t>
      </w:r>
    </w:p>
    <w:p w14:paraId="65EA9DC2">
      <w:pPr>
        <w:tabs>
          <w:tab w:val="left" w:pos="5685"/>
        </w:tabs>
        <w:spacing w:line="360" w:lineRule="auto"/>
        <w:jc w:val="left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CCAD047">
      <w:pPr>
        <w:tabs>
          <w:tab w:val="left" w:pos="5685"/>
        </w:tabs>
        <w:spacing w:line="360" w:lineRule="auto"/>
        <w:jc w:val="left"/>
        <w:outlineLvl w:val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概述</w:t>
      </w:r>
    </w:p>
    <w:p w14:paraId="1BDC29B4">
      <w:pPr>
        <w:tabs>
          <w:tab w:val="left" w:pos="5685"/>
        </w:tabs>
        <w:spacing w:line="360" w:lineRule="auto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甲方向乙方采购的</w:t>
      </w:r>
      <w:r>
        <w:rPr>
          <w:rFonts w:hint="eastAsia" w:ascii="仿宋" w:hAnsi="仿宋" w:cs="仿宋"/>
          <w:color w:val="000000"/>
          <w:kern w:val="0"/>
          <w:sz w:val="28"/>
          <w:szCs w:val="28"/>
          <w:lang w:val="en-US" w:eastAsia="zh-CN"/>
        </w:rPr>
        <w:t>耐火材料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（不含铸咀料）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事宜中有关物资的供货要求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、技术</w:t>
      </w:r>
      <w:r>
        <w:rPr>
          <w:rFonts w:hint="eastAsia" w:ascii="仿宋" w:hAnsi="仿宋" w:cs="仿宋"/>
          <w:color w:val="000000"/>
          <w:kern w:val="0"/>
          <w:sz w:val="28"/>
          <w:szCs w:val="28"/>
          <w:lang w:eastAsia="zh-CN"/>
        </w:rPr>
        <w:t>技术规格书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都已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进行了充分讨论，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zh-CN"/>
        </w:rPr>
        <w:t>经双方友好协商达成协议。</w:t>
      </w:r>
    </w:p>
    <w:p w14:paraId="01F5D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cs="仿宋"/>
          <w:b/>
          <w:bCs/>
          <w:kern w:val="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 xml:space="preserve"> 适用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范围</w:t>
      </w:r>
    </w:p>
    <w:p w14:paraId="22315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</w:t>
      </w:r>
      <w:r>
        <w:rPr>
          <w:rFonts w:hint="eastAsia" w:ascii="仿宋" w:hAnsi="仿宋" w:cs="仿宋"/>
          <w:kern w:val="0"/>
          <w:sz w:val="28"/>
          <w:szCs w:val="28"/>
          <w:lang w:eastAsia="zh-CN"/>
        </w:rPr>
        <w:t>技术规格书</w:t>
      </w:r>
      <w:r>
        <w:rPr>
          <w:rFonts w:hint="eastAsia" w:ascii="仿宋" w:hAnsi="仿宋" w:eastAsia="仿宋" w:cs="仿宋"/>
          <w:kern w:val="0"/>
          <w:sz w:val="28"/>
          <w:szCs w:val="28"/>
        </w:rPr>
        <w:t>规定了公司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耐火材料（不含铸咀料）</w:t>
      </w:r>
      <w:r>
        <w:rPr>
          <w:rFonts w:hint="eastAsia" w:ascii="仿宋" w:hAnsi="仿宋" w:eastAsia="仿宋" w:cs="仿宋"/>
          <w:kern w:val="0"/>
          <w:sz w:val="28"/>
          <w:szCs w:val="28"/>
        </w:rPr>
        <w:t>的技术要求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</w:rPr>
        <w:t>试验方法、检验规则等。</w:t>
      </w:r>
    </w:p>
    <w:p w14:paraId="1F001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</w:t>
      </w:r>
      <w:r>
        <w:rPr>
          <w:rFonts w:hint="eastAsia" w:ascii="仿宋" w:hAnsi="仿宋" w:cs="仿宋"/>
          <w:kern w:val="0"/>
          <w:sz w:val="28"/>
          <w:szCs w:val="28"/>
          <w:lang w:eastAsia="zh-CN"/>
        </w:rPr>
        <w:t>技术规格书</w:t>
      </w:r>
      <w:r>
        <w:rPr>
          <w:rFonts w:hint="eastAsia" w:ascii="仿宋" w:hAnsi="仿宋" w:eastAsia="仿宋" w:cs="仿宋"/>
          <w:kern w:val="0"/>
          <w:sz w:val="28"/>
          <w:szCs w:val="28"/>
        </w:rPr>
        <w:t>适用于公司从外部采购的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耐火材料</w:t>
      </w:r>
      <w:r>
        <w:rPr>
          <w:rFonts w:hint="eastAsia" w:ascii="仿宋" w:hAnsi="仿宋" w:eastAsia="仿宋" w:cs="仿宋"/>
          <w:kern w:val="0"/>
          <w:sz w:val="28"/>
          <w:szCs w:val="28"/>
        </w:rPr>
        <w:t>的检验和验收。</w:t>
      </w:r>
    </w:p>
    <w:p w14:paraId="0CEDD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hanging="4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3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技术要求</w:t>
      </w:r>
    </w:p>
    <w:p w14:paraId="482BEB38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3.1耐火泥技术指标</w:t>
      </w:r>
    </w:p>
    <w:tbl>
      <w:tblPr>
        <w:tblStyle w:val="3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6"/>
        <w:gridCol w:w="6360"/>
      </w:tblGrid>
      <w:tr w14:paraId="32FAE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FF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4B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高铝质耐火泥</w:t>
            </w:r>
          </w:p>
        </w:tc>
      </w:tr>
      <w:tr w14:paraId="3A194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1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牌号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3C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LN-65</w:t>
            </w:r>
          </w:p>
        </w:tc>
      </w:tr>
      <w:tr w14:paraId="37A1D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88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，%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1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≥65</w:t>
            </w:r>
          </w:p>
        </w:tc>
      </w:tr>
      <w:tr w14:paraId="6CD97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3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耐火度，℃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8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≥1780</w:t>
            </w:r>
          </w:p>
        </w:tc>
      </w:tr>
      <w:tr w14:paraId="2A5E0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3F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常温抗折强度，Mpa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3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≥1.0</w:t>
            </w:r>
          </w:p>
        </w:tc>
      </w:tr>
      <w:tr w14:paraId="320A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4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1200℃烧后线变化%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24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-5.01</w:t>
            </w:r>
          </w:p>
        </w:tc>
      </w:tr>
      <w:tr w14:paraId="73A89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3336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7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粒度，mm</w:t>
            </w:r>
          </w:p>
        </w:tc>
        <w:tc>
          <w:tcPr>
            <w:tcW w:w="636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A7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≤0.5</w:t>
            </w:r>
          </w:p>
        </w:tc>
      </w:tr>
      <w:tr w14:paraId="16ED8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9696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356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1、凝固时间适宜，粘结强度高。</w:t>
            </w:r>
          </w:p>
        </w:tc>
      </w:tr>
      <w:tr w14:paraId="54611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9696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A95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2、具有适当的细度、粘性、延伸性和保水性，施工性能好。</w:t>
            </w:r>
          </w:p>
        </w:tc>
      </w:tr>
      <w:tr w14:paraId="32F50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  <w:jc w:val="center"/>
        </w:trPr>
        <w:tc>
          <w:tcPr>
            <w:tcW w:w="9696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E7A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3、硬度较强，耐侵蚀、耐磨损。</w:t>
            </w:r>
          </w:p>
        </w:tc>
      </w:tr>
      <w:tr w14:paraId="5B499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9696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59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4、热震性能稳定。</w:t>
            </w:r>
          </w:p>
        </w:tc>
      </w:tr>
      <w:tr w14:paraId="2498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  <w:jc w:val="center"/>
        </w:trPr>
        <w:tc>
          <w:tcPr>
            <w:tcW w:w="9696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430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5、具有一定的耐火度。</w:t>
            </w:r>
          </w:p>
        </w:tc>
      </w:tr>
      <w:tr w14:paraId="524A0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9696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1A8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6、包装形式 5kg/桶，20kg/箱；</w:t>
            </w:r>
          </w:p>
        </w:tc>
      </w:tr>
    </w:tbl>
    <w:p w14:paraId="1790F016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3.2硅酸铝纤维纸技术指标</w:t>
      </w:r>
    </w:p>
    <w:tbl>
      <w:tblPr>
        <w:tblStyle w:val="3"/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50"/>
        <w:gridCol w:w="6290"/>
      </w:tblGrid>
      <w:tr w14:paraId="40916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9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17A009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产品特性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：低热容量；低热导率；优良的电绝缘性能；优良的机械加工性能；高强、抗撕扯；高柔韧性。</w:t>
            </w:r>
          </w:p>
        </w:tc>
      </w:tr>
      <w:tr w14:paraId="52BA0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9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7D92930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典型应用：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各种工业炉及钢水包、铸桶、浸入式水口的高温隔热材料；工业电炉的电绝缘及隔热材料；炉门及炉体膨胀缝密封材料；铸铝模型内衬；微晶玻璃与热融（弯）玻璃的脱膜；高温垫片原料；汽车消音器的消声隔热材料、排气管的保温材料、隔离防烧结材料等。</w:t>
            </w:r>
          </w:p>
        </w:tc>
      </w:tr>
      <w:tr w14:paraId="2729B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7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275AC9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b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产品技术性能指标</w:t>
            </w:r>
          </w:p>
        </w:tc>
      </w:tr>
      <w:tr w14:paraId="188FC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754AA14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加热永久线变化（%）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0C8EEE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1200℃×24h≤-3</w:t>
            </w:r>
          </w:p>
        </w:tc>
      </w:tr>
      <w:tr w14:paraId="2824F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6139954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理论导热系数w/m.k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576A2E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0.075～0.085</w:t>
            </w:r>
          </w:p>
        </w:tc>
      </w:tr>
      <w:tr w14:paraId="3B8B7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094F5B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0.090～0.110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541F1A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0.110～0.121</w:t>
            </w:r>
          </w:p>
        </w:tc>
      </w:tr>
      <w:tr w14:paraId="64990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09B317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0.150～0.160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5E627B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0.160～0.170</w:t>
            </w:r>
          </w:p>
        </w:tc>
      </w:tr>
      <w:tr w14:paraId="2C2E8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5A0A06D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有机物含量（%）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25FBF9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≤8</w:t>
            </w:r>
          </w:p>
        </w:tc>
      </w:tr>
      <w:tr w14:paraId="50040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6DC404C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抗拉强度（≥MPa）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222811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0.3</w:t>
            </w:r>
          </w:p>
        </w:tc>
      </w:tr>
      <w:tr w14:paraId="34ABF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14B4C6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理论体积密度（kg/m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30B58C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160-220</w:t>
            </w:r>
          </w:p>
        </w:tc>
      </w:tr>
      <w:tr w14:paraId="044C7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7B6B82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含水率（%）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0D2AA1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≤1</w:t>
            </w:r>
          </w:p>
        </w:tc>
      </w:tr>
      <w:tr w14:paraId="39180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44DD6C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尺寸（mm）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33E6E7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1MM/2MM/3MM</w:t>
            </w:r>
          </w:p>
          <w:p w14:paraId="07F39BA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800*450*5MM</w:t>
            </w:r>
          </w:p>
          <w:p w14:paraId="11C61D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（25KG/箱）</w:t>
            </w:r>
          </w:p>
        </w:tc>
      </w:tr>
      <w:tr w14:paraId="4E2CF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4543CB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包装形式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2BBFB5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内防潮塑料袋外纸箱</w:t>
            </w:r>
          </w:p>
        </w:tc>
      </w:tr>
      <w:tr w14:paraId="30390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2ABB393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使用周期</w:t>
            </w:r>
          </w:p>
        </w:tc>
        <w:tc>
          <w:tcPr>
            <w:tcW w:w="6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14:paraId="7C54A1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大于15天（360小时）</w:t>
            </w:r>
          </w:p>
        </w:tc>
      </w:tr>
    </w:tbl>
    <w:p w14:paraId="1EEEE6AE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3.3石棉绳技术指标</w:t>
      </w:r>
    </w:p>
    <w:tbl>
      <w:tblPr>
        <w:tblStyle w:val="3"/>
        <w:tblW w:w="972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2"/>
        <w:gridCol w:w="4909"/>
      </w:tblGrid>
      <w:tr w14:paraId="30EA2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0E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陶瓷纤维盘根由高品质的陶瓷纤维为原料,添加轻纺纱,经特殊工艺编织而成</w:t>
            </w:r>
            <w:r>
              <w:rPr>
                <w:rFonts w:hint="eastAsia" w:ascii="仿宋" w:hAnsi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可根据不同温度,</w:t>
            </w:r>
          </w:p>
          <w:p w14:paraId="6945C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不同场合加入玻璃纤维丝或耐热合金钢丝等增强材料</w:t>
            </w:r>
            <w:r>
              <w:rPr>
                <w:rFonts w:hint="eastAsia" w:ascii="仿宋" w:hAnsi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主要起到保温、隔热作用.适用于高温高压、泵、阀的机械密封</w:t>
            </w:r>
            <w:r>
              <w:rPr>
                <w:rFonts w:hint="eastAsia" w:ascii="仿宋" w:hAnsi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。</w:t>
            </w:r>
          </w:p>
        </w:tc>
      </w:tr>
      <w:tr w14:paraId="48138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ECA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适用介质：抗几乎所有化学介质(强碱如氢氧化钠、氢氧化钾，强酸如磷酸除外)   </w:t>
            </w:r>
          </w:p>
        </w:tc>
      </w:tr>
      <w:tr w14:paraId="1FC9A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72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09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陶瓷纤维盘根产品规格：   </w:t>
            </w:r>
          </w:p>
          <w:p w14:paraId="18AE2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陶瓷纤维盘根可分为：圆绳、松绳、方绳、扭绳 3mm-150mm；特殊规格或各类非</w:t>
            </w:r>
            <w:r>
              <w:rPr>
                <w:rFonts w:hint="eastAsia" w:ascii="仿宋" w:hAnsi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技术规格书</w:t>
            </w: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可按采购合同要求制定。   </w:t>
            </w:r>
          </w:p>
        </w:tc>
      </w:tr>
      <w:tr w14:paraId="3B14C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72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60496">
            <w:pP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51D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97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46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陶瓷纤维盘根的技术参数：</w:t>
            </w:r>
          </w:p>
        </w:tc>
      </w:tr>
      <w:tr w14:paraId="7F901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AE2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压力 (Pressure) 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99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3-10Mpa　</w:t>
            </w:r>
          </w:p>
        </w:tc>
      </w:tr>
      <w:tr w14:paraId="33E7F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1BB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温度(Temperature )  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6CF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800-1260℃ </w:t>
            </w:r>
          </w:p>
        </w:tc>
      </w:tr>
      <w:tr w14:paraId="6C28C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AC4E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PH值（PH range)   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BC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3~14 </w:t>
            </w:r>
          </w:p>
        </w:tc>
      </w:tr>
      <w:tr w14:paraId="1AECE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6C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线速度（Linear speed )   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34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12米/秒 m/s </w:t>
            </w:r>
          </w:p>
        </w:tc>
      </w:tr>
      <w:tr w14:paraId="30AE9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12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目前需要尺寸（mm）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3C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ф20MM （40KG/包）</w:t>
            </w:r>
          </w:p>
        </w:tc>
      </w:tr>
      <w:tr w14:paraId="2C12A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4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2FEF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包装形式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DEB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内包装塑料防潮薄膜袋，外包装编织袋</w:t>
            </w:r>
          </w:p>
        </w:tc>
      </w:tr>
    </w:tbl>
    <w:p w14:paraId="14BB0D05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3.4硅酸铝纤维毯、毡帽技术指标</w:t>
      </w:r>
    </w:p>
    <w:tbl>
      <w:tblPr>
        <w:tblStyle w:val="3"/>
        <w:tblW w:w="9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0"/>
        <w:gridCol w:w="1875"/>
        <w:gridCol w:w="1845"/>
        <w:gridCol w:w="5246"/>
      </w:tblGrid>
      <w:tr w14:paraId="2445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0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CE3C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要求使用温度(℃)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B2F1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≥1260</w:t>
            </w:r>
          </w:p>
        </w:tc>
      </w:tr>
      <w:tr w14:paraId="340E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8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8777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加热永久线变化(%)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4D89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1000℃×24h≤-3</w:t>
            </w:r>
          </w:p>
        </w:tc>
      </w:tr>
      <w:tr w14:paraId="53C36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2625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8E4E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理论导热系数</w:t>
            </w:r>
          </w:p>
          <w:p w14:paraId="68C70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W/(m·k)128kg/m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9C3F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(平均600℃)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290A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≤0.15</w:t>
            </w:r>
          </w:p>
        </w:tc>
      </w:tr>
      <w:tr w14:paraId="054A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AF42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抗拉强度(Mpa，厚度25mm)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C2AE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≥0.08</w:t>
            </w:r>
          </w:p>
        </w:tc>
      </w:tr>
      <w:tr w14:paraId="58304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18D62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理论体积密度(kg/m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5186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96/128</w:t>
            </w:r>
          </w:p>
        </w:tc>
      </w:tr>
      <w:tr w14:paraId="7126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750" w:type="dxa"/>
            <w:vMerge w:val="restart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71D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</w:t>
            </w:r>
          </w:p>
          <w:p w14:paraId="6E59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</w:t>
            </w:r>
          </w:p>
          <w:p w14:paraId="59FF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</w:t>
            </w:r>
          </w:p>
          <w:p w14:paraId="5940A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9D6F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01A1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≥45</w:t>
            </w:r>
          </w:p>
        </w:tc>
      </w:tr>
      <w:tr w14:paraId="02C85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74FB3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8549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4C94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≥52</w:t>
            </w:r>
          </w:p>
        </w:tc>
      </w:tr>
      <w:tr w14:paraId="6C47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4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B44C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0555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9EAD4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≤0.8</w:t>
            </w:r>
          </w:p>
        </w:tc>
      </w:tr>
      <w:tr w14:paraId="0FB9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4F42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D60A1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＋SiO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15B35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≥97</w:t>
            </w:r>
          </w:p>
        </w:tc>
      </w:tr>
      <w:tr w14:paraId="0B10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0C868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产品规格(mm)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C6A9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按图纸生产，几何尺寸公差</w:t>
            </w:r>
            <w:r>
              <w:rPr>
                <w:rFonts w:hint="eastAsia" w:ascii="仿宋" w:hAnsi="仿宋" w:eastAsia="仿宋" w:cs="仿宋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</w:rPr>
              <w:t>±2</w:t>
            </w:r>
          </w:p>
        </w:tc>
      </w:tr>
      <w:tr w14:paraId="05A7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67C2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产品规格(mm)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B94F8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3600×610×40/50/60</w:t>
            </w:r>
          </w:p>
        </w:tc>
      </w:tr>
      <w:tr w14:paraId="3D93F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74A8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包装形式</w:t>
            </w:r>
          </w:p>
        </w:tc>
        <w:tc>
          <w:tcPr>
            <w:tcW w:w="5246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846D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内防潮塑料袋外编织袋</w:t>
            </w:r>
          </w:p>
        </w:tc>
      </w:tr>
    </w:tbl>
    <w:p w14:paraId="378AF0B7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 流槽内衬、耳子、前箱、垫片技术指标</w:t>
      </w:r>
    </w:p>
    <w:tbl>
      <w:tblPr>
        <w:tblStyle w:val="3"/>
        <w:tblW w:w="9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0"/>
        <w:gridCol w:w="1875"/>
        <w:gridCol w:w="1845"/>
        <w:gridCol w:w="5193"/>
      </w:tblGrid>
      <w:tr w14:paraId="66715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15B8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要求使用温度(℃)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84AF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最高1260℃，常态持续使用温度800℃</w:t>
            </w:r>
          </w:p>
        </w:tc>
      </w:tr>
      <w:tr w14:paraId="499D8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0AB3F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24小时后加热永久线线性收缩变化(%)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C02F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≤0.5</w:t>
            </w:r>
          </w:p>
        </w:tc>
      </w:tr>
      <w:tr w14:paraId="2186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0657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热膨胀系数（700℃，m／m.℃）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9B6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2.77×10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-6</w:t>
            </w:r>
          </w:p>
        </w:tc>
      </w:tr>
      <w:tr w14:paraId="40249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4" w:hRule="atLeast"/>
          <w:jc w:val="center"/>
        </w:trPr>
        <w:tc>
          <w:tcPr>
            <w:tcW w:w="2625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7D73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理论导热系数</w:t>
            </w:r>
          </w:p>
          <w:p w14:paraId="43D12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W/(m·k)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616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(平均720℃)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3F02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≤0.12</w:t>
            </w:r>
          </w:p>
        </w:tc>
      </w:tr>
      <w:tr w14:paraId="57273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FC85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抗压强度(Mpa)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3F25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</w:t>
            </w:r>
          </w:p>
        </w:tc>
      </w:tr>
      <w:tr w14:paraId="4406A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BE221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抗折强度(Mpa)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5A9A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≥15</w:t>
            </w:r>
          </w:p>
        </w:tc>
      </w:tr>
      <w:tr w14:paraId="13496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0213B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理论体积密度(kg/m3)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89420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0.6-1.5（表层刮防粘铝硬质层）</w:t>
            </w:r>
          </w:p>
        </w:tc>
      </w:tr>
      <w:tr w14:paraId="0E12B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750" w:type="dxa"/>
            <w:vMerge w:val="restart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3806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</w:t>
            </w:r>
          </w:p>
          <w:p w14:paraId="4F47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</w:t>
            </w:r>
          </w:p>
          <w:p w14:paraId="7B0B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</w:t>
            </w:r>
          </w:p>
          <w:p w14:paraId="3DD02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</w:t>
            </w: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66B1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B1963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≥50.4</w:t>
            </w:r>
          </w:p>
        </w:tc>
      </w:tr>
      <w:tr w14:paraId="6AA97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9066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0952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SiO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E349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≥50</w:t>
            </w:r>
          </w:p>
        </w:tc>
      </w:tr>
      <w:tr w14:paraId="685A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1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875D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FD3DE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5E8D2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≤0.14</w:t>
            </w:r>
          </w:p>
        </w:tc>
      </w:tr>
      <w:tr w14:paraId="6C65D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A6503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AE2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AL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＋SiO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vertAlign w:val="subscript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(%)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E7DB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≥97</w:t>
            </w:r>
          </w:p>
        </w:tc>
      </w:tr>
      <w:tr w14:paraId="20B68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" w:hRule="atLeast"/>
          <w:jc w:val="center"/>
        </w:trPr>
        <w:tc>
          <w:tcPr>
            <w:tcW w:w="750" w:type="dxa"/>
            <w:vMerge w:val="continue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13914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20" w:type="dxa"/>
            <w:gridSpan w:val="2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9A57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  <w:r>
              <w:rPr>
                <w:rFonts w:hint="eastAsia" w:ascii="仿宋" w:hAnsi="仿宋" w:eastAsia="仿宋" w:cs="仿宋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</w:rPr>
              <w:t>％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12EF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</w:rPr>
              <w:t>＜0.05</w:t>
            </w:r>
          </w:p>
        </w:tc>
      </w:tr>
      <w:tr w14:paraId="58FF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F7FB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产品规格(mm)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DA5F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按图纸生产，几何尺寸公差</w:t>
            </w:r>
            <w:r>
              <w:rPr>
                <w:rFonts w:hint="eastAsia" w:ascii="仿宋" w:hAnsi="仿宋" w:eastAsia="仿宋" w:cs="仿宋"/>
                <w:caps w:val="0"/>
                <w:color w:val="333333"/>
                <w:spacing w:val="0"/>
                <w:sz w:val="24"/>
                <w:szCs w:val="24"/>
                <w:u w:val="none"/>
                <w:shd w:val="clear" w:fill="FFFFFF"/>
              </w:rPr>
              <w:t>±2</w:t>
            </w:r>
          </w:p>
        </w:tc>
      </w:tr>
      <w:tr w14:paraId="5F7D6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5FB0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包装形式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4A41D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内塑料防潮包裹，加防震保护，木箱外包装</w:t>
            </w:r>
          </w:p>
        </w:tc>
      </w:tr>
      <w:tr w14:paraId="69AA3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4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1D959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前箱使用周期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E7B5C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大于40天（960小时）</w:t>
            </w:r>
          </w:p>
        </w:tc>
      </w:tr>
      <w:tr w14:paraId="3CA41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2100B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耳子使用周期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70740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大于70天（1680小时）</w:t>
            </w:r>
          </w:p>
        </w:tc>
      </w:tr>
      <w:tr w14:paraId="484AE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7D531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垫片使用周期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AC43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大于70天（1680小时）</w:t>
            </w:r>
          </w:p>
        </w:tc>
      </w:tr>
      <w:tr w14:paraId="1049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" w:hRule="atLeast"/>
          <w:jc w:val="center"/>
        </w:trPr>
        <w:tc>
          <w:tcPr>
            <w:tcW w:w="4470" w:type="dxa"/>
            <w:gridSpan w:val="3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68D16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流槽内衬使用周期</w:t>
            </w:r>
          </w:p>
        </w:tc>
        <w:tc>
          <w:tcPr>
            <w:tcW w:w="5193" w:type="dxa"/>
            <w:shd w:val="clear" w:color="auto" w:fill="auto"/>
            <w:tcMar>
              <w:top w:w="0" w:type="dxa"/>
              <w:left w:w="88" w:type="dxa"/>
              <w:bottom w:w="0" w:type="dxa"/>
              <w:right w:w="88" w:type="dxa"/>
            </w:tcMar>
            <w:vAlign w:val="center"/>
          </w:tcPr>
          <w:p w14:paraId="3ABFB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大于120天（2880小时）</w:t>
            </w:r>
          </w:p>
        </w:tc>
      </w:tr>
    </w:tbl>
    <w:p w14:paraId="5C35D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4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检验规则</w:t>
      </w:r>
    </w:p>
    <w:p w14:paraId="57F59E56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4.1产品按连续正常生产的同一牌号组批。原料或生产工艺变动时，则应另行组批。</w:t>
      </w:r>
    </w:p>
    <w:p w14:paraId="0FD67831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4.2抽样</w:t>
      </w:r>
    </w:p>
    <w:p w14:paraId="2F7A3D49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cs="仿宋"/>
          <w:sz w:val="28"/>
          <w:szCs w:val="28"/>
          <w:lang w:val="en-US" w:eastAsia="zh-CN"/>
        </w:rPr>
        <w:t>产品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的抽样按GB/T 17617的规定进行。</w:t>
      </w:r>
    </w:p>
    <w:p w14:paraId="062AF2EA">
      <w:pPr>
        <w:spacing w:line="360" w:lineRule="auto"/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4.3检验方法</w:t>
      </w:r>
    </w:p>
    <w:p w14:paraId="690BB88D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4.3.1化学分析按GB/T 6900进行。</w:t>
      </w:r>
    </w:p>
    <w:p w14:paraId="3B51488B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4.3.2耐火度的检验按GB/T 7322进行。</w:t>
      </w:r>
    </w:p>
    <w:p w14:paraId="7BBB9F1A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4.3.3粘接时间的试验按GB/T 22459.3进行。</w:t>
      </w:r>
    </w:p>
    <w:p w14:paraId="1C9251A6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4.3.4常温抗折粘结强度的检验按GB/T 22459.4进行。</w:t>
      </w:r>
    </w:p>
    <w:p w14:paraId="1AF2B372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4.3.5粒度筛分析按GB/T 22459.5进行。</w:t>
      </w:r>
    </w:p>
    <w:p w14:paraId="62321785">
      <w:pPr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4.3.6荷重软化温度和加热永久线变化率的检验按GB/T 22459.7进行。</w:t>
      </w:r>
    </w:p>
    <w:p w14:paraId="3D2F1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4.2 检验结果应符合技术要求规定，若有任何一项不符合技术要求，应加倍取样对该项指标复验，以复验结果为最终判断该批产品合格或不合格的依据。</w:t>
      </w:r>
    </w:p>
    <w:p w14:paraId="40245F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hanging="38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5 标志、包装、运输及贮存</w:t>
      </w:r>
    </w:p>
    <w:p w14:paraId="33CA8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19" w:leftChars="114" w:right="0" w:rightChars="0" w:firstLine="226" w:firstLineChars="81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5.1包装、标志、运输、储存应符合GB/T 15545的规定。</w:t>
      </w:r>
    </w:p>
    <w:p w14:paraId="161E0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5.2产品发出时供方应提供质量证明书和产品使用说明书， 质量证明书应载明供方名称、需方名称、生产日期、合同号、</w:t>
      </w:r>
      <w:r>
        <w:rPr>
          <w:rFonts w:hint="eastAsia" w:ascii="仿宋" w:hAnsi="仿宋" w:cs="仿宋"/>
          <w:kern w:val="0"/>
          <w:sz w:val="28"/>
          <w:szCs w:val="28"/>
          <w:lang w:val="en-US" w:eastAsia="zh-CN"/>
        </w:rPr>
        <w:t>技术规格书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编号、产品名称、牌号、批号、理化指标及保存期等内容。</w:t>
      </w:r>
    </w:p>
    <w:p w14:paraId="31DB1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319" w:leftChars="114" w:right="0" w:rightChars="0" w:firstLine="226" w:firstLineChars="81"/>
        <w:jc w:val="left"/>
        <w:textAlignment w:val="auto"/>
        <w:outlineLvl w:val="9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5.3 运输及贮存</w:t>
      </w:r>
      <w:r>
        <w:rPr>
          <w:rFonts w:hint="eastAsia" w:ascii="仿宋" w:hAnsi="仿宋" w:cs="仿宋"/>
          <w:kern w:val="0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28"/>
          <w:szCs w:val="28"/>
        </w:rPr>
        <w:t>运输及贮存中应防潮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。</w:t>
      </w:r>
    </w:p>
    <w:tbl>
      <w:tblPr>
        <w:tblStyle w:val="4"/>
        <w:tblW w:w="10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6"/>
        <w:gridCol w:w="5268"/>
      </w:tblGrid>
      <w:tr w14:paraId="7AF2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4906" w:type="dxa"/>
            <w:vAlign w:val="center"/>
          </w:tcPr>
          <w:p w14:paraId="37A25FA3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甲方</w:t>
            </w:r>
          </w:p>
        </w:tc>
        <w:tc>
          <w:tcPr>
            <w:tcW w:w="5268" w:type="dxa"/>
            <w:vAlign w:val="center"/>
          </w:tcPr>
          <w:p w14:paraId="6CB9E72F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eastAsia="仿宋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乙方</w:t>
            </w:r>
          </w:p>
        </w:tc>
      </w:tr>
      <w:tr w14:paraId="18321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4906" w:type="dxa"/>
            <w:vAlign w:val="center"/>
          </w:tcPr>
          <w:p w14:paraId="3FDBFFFE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单位名称（章）：</w:t>
            </w:r>
          </w:p>
          <w:p w14:paraId="1F1B6CAC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甘肃东兴嘉宇新材料有限公司</w:t>
            </w:r>
          </w:p>
        </w:tc>
        <w:tc>
          <w:tcPr>
            <w:tcW w:w="5268" w:type="dxa"/>
            <w:vAlign w:val="center"/>
          </w:tcPr>
          <w:p w14:paraId="77481C0A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单位名称（章）：</w:t>
            </w:r>
          </w:p>
          <w:p w14:paraId="5EDA2191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</w:pPr>
          </w:p>
        </w:tc>
      </w:tr>
      <w:tr w14:paraId="66C1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4906" w:type="dxa"/>
            <w:vAlign w:val="center"/>
          </w:tcPr>
          <w:p w14:paraId="0A847665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技术代表人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  <w:tc>
          <w:tcPr>
            <w:tcW w:w="5268" w:type="dxa"/>
            <w:vAlign w:val="center"/>
          </w:tcPr>
          <w:p w14:paraId="45184F38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  <w:lang w:eastAsia="zh-CN"/>
              </w:rPr>
              <w:t>技术代表人</w:t>
            </w: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：</w:t>
            </w:r>
          </w:p>
        </w:tc>
      </w:tr>
      <w:tr w14:paraId="7C20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4906" w:type="dxa"/>
            <w:vAlign w:val="center"/>
          </w:tcPr>
          <w:p w14:paraId="344D301D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联系电话：0937-67122080</w:t>
            </w:r>
          </w:p>
        </w:tc>
        <w:tc>
          <w:tcPr>
            <w:tcW w:w="5268" w:type="dxa"/>
            <w:vAlign w:val="center"/>
          </w:tcPr>
          <w:p w14:paraId="07CD7D0B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联系电话：</w:t>
            </w:r>
          </w:p>
        </w:tc>
      </w:tr>
      <w:tr w14:paraId="31119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4906" w:type="dxa"/>
            <w:vAlign w:val="center"/>
          </w:tcPr>
          <w:p w14:paraId="1B15059B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日期：      年        月        日</w:t>
            </w:r>
          </w:p>
        </w:tc>
        <w:tc>
          <w:tcPr>
            <w:tcW w:w="5268" w:type="dxa"/>
            <w:vAlign w:val="center"/>
          </w:tcPr>
          <w:p w14:paraId="7F6F05AE">
            <w:pPr>
              <w:tabs>
                <w:tab w:val="left" w:pos="5685"/>
              </w:tabs>
              <w:spacing w:line="360" w:lineRule="auto"/>
              <w:jc w:val="left"/>
              <w:outlineLvl w:val="0"/>
              <w:rPr>
                <w:rFonts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/>
                <w:kern w:val="0"/>
                <w:sz w:val="28"/>
                <w:szCs w:val="28"/>
              </w:rPr>
              <w:t>日期：      年        月        日</w:t>
            </w:r>
          </w:p>
        </w:tc>
      </w:tr>
    </w:tbl>
    <w:p w14:paraId="65D1C79C">
      <w:pPr>
        <w:jc w:val="both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hMzdhYzczZmNmMjUxYzhlNzA3ZWQ5NWYyMWUwODYifQ=="/>
  </w:docVars>
  <w:rsids>
    <w:rsidRoot w:val="39827E79"/>
    <w:rsid w:val="01E31572"/>
    <w:rsid w:val="04476DA3"/>
    <w:rsid w:val="10B60660"/>
    <w:rsid w:val="19685D44"/>
    <w:rsid w:val="1EE56643"/>
    <w:rsid w:val="1F1343C4"/>
    <w:rsid w:val="1F8452B0"/>
    <w:rsid w:val="226B5EA9"/>
    <w:rsid w:val="39827E79"/>
    <w:rsid w:val="3BBF392D"/>
    <w:rsid w:val="4AB600EA"/>
    <w:rsid w:val="55E37D12"/>
    <w:rsid w:val="591B1C68"/>
    <w:rsid w:val="7BFF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cs="仿宋" w:asciiTheme="minorHAnsi" w:hAnsiTheme="minorHAns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1725</Words>
  <Characters>2256</Characters>
  <Lines>0</Lines>
  <Paragraphs>0</Paragraphs>
  <TotalTime>5</TotalTime>
  <ScaleCrop>false</ScaleCrop>
  <LinksUpToDate>false</LinksUpToDate>
  <CharactersWithSpaces>2348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2024-07-09T06:23:00Z</dcterms:created>
  <dc:creator>崔云龙</dc:creator>
  <cp:lastModifiedBy>朱福鹏</cp:lastModifiedBy>
  <dcterms:modified xsi:type="dcterms:W3CDTF">2026-03-03T01:28:07Z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131F4DD495924420A1F3E489EBBD5724_13</vt:lpwstr>
  </property>
  <property fmtid="{D5CDD505-2E9C-101B-9397-08002B2CF9AE}" pid="4" name="KSOTemplateDocerSaveRecord">
    <vt:lpwstr>eyJoZGlkIjoiMzdjZTdiNWY3MWVjMWZmZjRhYjk5YzljZmMwMWYzMmIiLCJ1c2VySWQiOiIxNDg5MzA1MTEzIn0=</vt:lpwstr>
  </property>
</Properties>
</file>