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4CAA67">
      <w:pPr>
        <w:snapToGrid w:val="0"/>
        <w:spacing w:line="240" w:lineRule="atLeast"/>
        <w:ind w:right="2" w:rightChars="1"/>
        <w:rPr>
          <w:rFonts w:hAnsi="宋体" w:cs="宋体"/>
          <w:b/>
          <w:bCs/>
          <w:sz w:val="44"/>
          <w:szCs w:val="44"/>
        </w:rPr>
      </w:pPr>
    </w:p>
    <w:p w14:paraId="1BBA7FF4">
      <w:pPr>
        <w:jc w:val="center"/>
      </w:pPr>
      <w:r>
        <w:rPr>
          <w:rFonts w:hint="eastAsia" w:hAnsi="宋体" w:eastAsia="宋体" w:cs="宋体"/>
          <w:b/>
          <w:bCs/>
          <w:color w:val="000000"/>
          <w:sz w:val="43"/>
          <w:szCs w:val="43"/>
          <w:lang w:bidi="ar"/>
        </w:rPr>
        <w:t>酒泉钢铁（集团）宏兴股份公司</w:t>
      </w:r>
    </w:p>
    <w:p w14:paraId="63887F06">
      <w:pPr>
        <w:snapToGrid w:val="0"/>
        <w:spacing w:line="240" w:lineRule="atLeast"/>
        <w:ind w:right="2" w:rightChars="1"/>
        <w:jc w:val="center"/>
        <w:rPr>
          <w:rFonts w:hAnsi="宋体"/>
          <w:sz w:val="44"/>
          <w:szCs w:val="44"/>
        </w:rPr>
      </w:pPr>
      <w:r>
        <w:rPr>
          <w:rFonts w:hint="eastAsia" w:hAnsi="宋体"/>
          <w:sz w:val="44"/>
          <w:szCs w:val="44"/>
        </w:rPr>
        <w:t>（</w:t>
      </w:r>
      <w:r>
        <w:rPr>
          <w:rFonts w:hint="eastAsia" w:hAnsi="宋体" w:eastAsia="宋体"/>
          <w:sz w:val="44"/>
          <w:szCs w:val="44"/>
        </w:rPr>
        <w:t>高效节能长轴泵\450m3/h 33m 工业废水（含固体颗粒） 250LCT-40A×1-10000</w:t>
      </w:r>
      <w:r>
        <w:rPr>
          <w:rFonts w:hAnsi="宋体" w:eastAsia="宋体"/>
          <w:sz w:val="44"/>
          <w:szCs w:val="44"/>
        </w:rPr>
        <w:t xml:space="preserve">  </w:t>
      </w:r>
      <w:r>
        <w:rPr>
          <w:rFonts w:hint="eastAsia" w:hAnsi="宋体" w:eastAsia="宋体"/>
          <w:sz w:val="44"/>
          <w:szCs w:val="44"/>
        </w:rPr>
        <w:t>铁渣水采购</w:t>
      </w:r>
      <w:r>
        <w:rPr>
          <w:rFonts w:hint="eastAsia" w:hAnsi="宋体"/>
          <w:sz w:val="44"/>
          <w:szCs w:val="44"/>
        </w:rPr>
        <w:t>）</w:t>
      </w:r>
    </w:p>
    <w:p w14:paraId="6B90D1D1">
      <w:pPr>
        <w:snapToGrid w:val="0"/>
        <w:spacing w:line="240" w:lineRule="atLeast"/>
        <w:ind w:right="2" w:rightChars="1"/>
        <w:jc w:val="center"/>
        <w:rPr>
          <w:rFonts w:hint="eastAsia" w:hAnsi="宋体" w:eastAsia="宋体"/>
          <w:sz w:val="44"/>
          <w:szCs w:val="44"/>
        </w:rPr>
      </w:pPr>
      <w:r>
        <w:rPr>
          <w:rFonts w:hint="eastAsia" w:hAnsi="宋体" w:eastAsia="宋体"/>
          <w:sz w:val="44"/>
          <w:szCs w:val="44"/>
        </w:rPr>
        <w:t>技术规格书</w:t>
      </w:r>
    </w:p>
    <w:p w14:paraId="57D27440">
      <w:pPr>
        <w:pStyle w:val="9"/>
        <w:ind w:firstLine="420"/>
      </w:pPr>
    </w:p>
    <w:p w14:paraId="6DAEF53A">
      <w:pPr>
        <w:rPr>
          <w:rFonts w:hAnsi="宋体"/>
          <w:b/>
          <w:bCs/>
          <w:sz w:val="32"/>
        </w:rPr>
      </w:pPr>
    </w:p>
    <w:p w14:paraId="218CAAE3">
      <w:pPr>
        <w:rPr>
          <w:rFonts w:hAnsi="宋体"/>
          <w:b/>
          <w:bCs/>
          <w:sz w:val="32"/>
        </w:rPr>
      </w:pPr>
    </w:p>
    <w:p w14:paraId="6407E668">
      <w:pPr>
        <w:rPr>
          <w:rFonts w:hAnsi="宋体"/>
          <w:b/>
          <w:bCs/>
          <w:sz w:val="32"/>
        </w:rPr>
      </w:pPr>
    </w:p>
    <w:p w14:paraId="3E3AC37A">
      <w:pPr>
        <w:rPr>
          <w:rFonts w:hAnsi="宋体"/>
          <w:b/>
          <w:bCs/>
          <w:sz w:val="32"/>
        </w:rPr>
      </w:pPr>
    </w:p>
    <w:p w14:paraId="51BAD8F0">
      <w:pPr>
        <w:rPr>
          <w:rFonts w:hAnsi="宋体"/>
          <w:b/>
          <w:bCs/>
          <w:sz w:val="32"/>
        </w:rPr>
      </w:pPr>
    </w:p>
    <w:p w14:paraId="41A8CEC3">
      <w:pPr>
        <w:rPr>
          <w:rFonts w:hAnsi="宋体"/>
          <w:b/>
          <w:bCs/>
          <w:sz w:val="32"/>
        </w:rPr>
      </w:pPr>
    </w:p>
    <w:p w14:paraId="28F3AAF2">
      <w:pPr>
        <w:rPr>
          <w:rFonts w:hAnsi="宋体"/>
          <w:b/>
          <w:bCs/>
          <w:sz w:val="32"/>
        </w:rPr>
      </w:pPr>
    </w:p>
    <w:p w14:paraId="36C016BB">
      <w:pPr>
        <w:rPr>
          <w:rFonts w:hAnsi="宋体"/>
          <w:b/>
          <w:bCs/>
          <w:sz w:val="32"/>
        </w:rPr>
      </w:pPr>
    </w:p>
    <w:p w14:paraId="2DA5CBFE">
      <w:pPr>
        <w:rPr>
          <w:rFonts w:hAnsi="宋体"/>
          <w:b/>
          <w:bCs/>
          <w:sz w:val="32"/>
        </w:rPr>
      </w:pPr>
    </w:p>
    <w:p w14:paraId="10484DAE">
      <w:pPr>
        <w:pStyle w:val="3"/>
        <w:wordWrap/>
        <w:spacing w:line="360" w:lineRule="auto"/>
        <w:rPr>
          <w:rFonts w:hint="eastAsia" w:ascii="仿宋_GB2312" w:hAnsi="宋体" w:eastAsia="仿宋_GB2312"/>
          <w:kern w:val="0"/>
          <w:sz w:val="28"/>
          <w:szCs w:val="28"/>
        </w:rPr>
      </w:pPr>
    </w:p>
    <w:p w14:paraId="1ACB7C07">
      <w:pPr>
        <w:pStyle w:val="3"/>
        <w:wordWrap/>
        <w:spacing w:line="360" w:lineRule="auto"/>
        <w:ind w:firstLine="1124" w:firstLineChars="400"/>
        <w:rPr>
          <w:rFonts w:hint="eastAsia" w:ascii="仿宋_GB2312" w:hAnsi="宋体" w:eastAsia="仿宋_GB2312"/>
          <w:b/>
          <w:bCs/>
          <w:kern w:val="0"/>
          <w:sz w:val="28"/>
          <w:szCs w:val="28"/>
        </w:rPr>
      </w:pPr>
      <w:r>
        <w:rPr>
          <w:rFonts w:hint="eastAsia" w:ascii="仿宋_GB2312" w:hAnsi="宋体" w:eastAsia="仿宋_GB2312"/>
          <w:b/>
          <w:bCs/>
          <w:kern w:val="0"/>
          <w:sz w:val="28"/>
          <w:szCs w:val="28"/>
        </w:rPr>
        <w:t>甲  方：酒泉钢铁（集团）宏兴股份公司动力厂</w:t>
      </w:r>
    </w:p>
    <w:p w14:paraId="25596884">
      <w:pPr>
        <w:ind w:firstLine="1124" w:firstLineChars="400"/>
        <w:rPr>
          <w:rFonts w:hint="eastAsia" w:ascii="仿宋_GB2312" w:hAnsi="宋体" w:eastAsia="仿宋_GB2312"/>
          <w:b/>
          <w:bCs/>
          <w:sz w:val="28"/>
          <w:szCs w:val="28"/>
        </w:rPr>
      </w:pPr>
      <w:r>
        <w:rPr>
          <w:rFonts w:hint="eastAsia" w:ascii="仿宋_GB2312" w:hAnsi="宋体" w:eastAsia="仿宋_GB2312"/>
          <w:b/>
          <w:bCs/>
          <w:sz w:val="28"/>
          <w:szCs w:val="28"/>
        </w:rPr>
        <w:t>乙  方：</w:t>
      </w:r>
    </w:p>
    <w:p w14:paraId="25332456">
      <w:pPr>
        <w:pStyle w:val="9"/>
        <w:ind w:firstLine="562"/>
        <w:rPr>
          <w:rFonts w:hint="eastAsia" w:ascii="仿宋_GB2312" w:eastAsia="仿宋_GB2312"/>
          <w:b/>
          <w:bCs/>
          <w:sz w:val="28"/>
          <w:szCs w:val="28"/>
        </w:rPr>
      </w:pPr>
    </w:p>
    <w:p w14:paraId="7696FF88">
      <w:pPr>
        <w:pStyle w:val="9"/>
        <w:ind w:firstLine="562"/>
        <w:rPr>
          <w:rFonts w:hint="eastAsia" w:ascii="仿宋_GB2312" w:eastAsia="仿宋_GB2312"/>
          <w:b/>
          <w:bCs/>
          <w:sz w:val="28"/>
          <w:szCs w:val="28"/>
        </w:rPr>
      </w:pPr>
    </w:p>
    <w:p w14:paraId="35220192"/>
    <w:p w14:paraId="7BAB152F"/>
    <w:p w14:paraId="5936263E"/>
    <w:p w14:paraId="6E1439C9"/>
    <w:p w14:paraId="35C4860E"/>
    <w:p w14:paraId="0B03DF31"/>
    <w:p w14:paraId="04B7E539">
      <w:pPr>
        <w:spacing w:line="460" w:lineRule="exact"/>
        <w:jc w:val="center"/>
        <w:rPr>
          <w:rFonts w:eastAsia="宋体"/>
          <w:b/>
          <w:sz w:val="36"/>
        </w:rPr>
      </w:pPr>
      <w:r>
        <w:rPr>
          <w:rFonts w:hint="eastAsia" w:eastAsia="宋体"/>
          <w:b/>
          <w:sz w:val="36"/>
        </w:rPr>
        <w:t>目  录</w:t>
      </w:r>
    </w:p>
    <w:p w14:paraId="58869D79">
      <w:pPr>
        <w:spacing w:line="460" w:lineRule="exact"/>
        <w:ind w:firstLine="3791"/>
        <w:rPr>
          <w:rFonts w:hint="eastAsia" w:ascii="仿宋_GB2312" w:hAnsi="仿宋_GB2312" w:eastAsia="仿宋_GB2312" w:cs="仿宋_GB2312"/>
          <w:b/>
          <w:sz w:val="30"/>
          <w:szCs w:val="30"/>
        </w:rPr>
      </w:pPr>
    </w:p>
    <w:p w14:paraId="455258BA">
      <w:pPr>
        <w:widowControl w:val="0"/>
        <w:wordWrap/>
        <w:ind w:firstLine="600" w:firstLineChars="200"/>
        <w:rPr>
          <w:rFonts w:hint="eastAsia" w:ascii="仿宋_GB2312" w:hAnsi="仿宋_GB2312" w:eastAsia="仿宋_GB2312" w:cs="仿宋_GB2312"/>
          <w:kern w:val="2"/>
          <w:sz w:val="30"/>
          <w:szCs w:val="30"/>
          <w:lang w:val="en-GB"/>
        </w:rPr>
      </w:pPr>
      <w:r>
        <w:rPr>
          <w:rFonts w:hint="eastAsia" w:ascii="仿宋_GB2312" w:hAnsi="仿宋_GB2312" w:eastAsia="仿宋_GB2312" w:cs="仿宋_GB2312"/>
          <w:kern w:val="2"/>
          <w:sz w:val="30"/>
          <w:szCs w:val="30"/>
        </w:rPr>
        <w:t>一、总则</w:t>
      </w:r>
    </w:p>
    <w:p w14:paraId="6DC9F437">
      <w:pPr>
        <w:widowControl w:val="0"/>
        <w:wordWrap/>
        <w:ind w:firstLine="600" w:firstLineChars="200"/>
        <w:rPr>
          <w:rFonts w:hint="eastAsia" w:ascii="仿宋_GB2312" w:hAnsi="仿宋_GB2312" w:eastAsia="仿宋_GB2312" w:cs="仿宋_GB2312"/>
          <w:kern w:val="2"/>
          <w:sz w:val="30"/>
          <w:szCs w:val="30"/>
          <w:lang w:val="en-GB"/>
        </w:rPr>
      </w:pPr>
      <w:r>
        <w:rPr>
          <w:rFonts w:hint="eastAsia" w:ascii="仿宋_GB2312" w:hAnsi="仿宋_GB2312" w:eastAsia="仿宋_GB2312" w:cs="仿宋_GB2312"/>
          <w:kern w:val="2"/>
          <w:sz w:val="30"/>
          <w:szCs w:val="30"/>
          <w:lang w:val="en-GB"/>
        </w:rPr>
        <w:t>二、供货范围及设备参数</w:t>
      </w:r>
    </w:p>
    <w:p w14:paraId="418BC094">
      <w:pPr>
        <w:widowControl w:val="0"/>
        <w:wordWrap/>
        <w:ind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三、制造技术要求</w:t>
      </w:r>
    </w:p>
    <w:p w14:paraId="4F20465D">
      <w:pPr>
        <w:widowControl w:val="0"/>
        <w:wordWrap/>
        <w:ind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四、</w:t>
      </w:r>
      <w:r>
        <w:rPr>
          <w:rFonts w:hint="eastAsia" w:ascii="仿宋_GB2312" w:hAnsi="仿宋_GB2312" w:eastAsia="仿宋_GB2312" w:cs="仿宋_GB2312"/>
          <w:kern w:val="2"/>
          <w:sz w:val="30"/>
          <w:szCs w:val="30"/>
          <w:lang w:val="en-GB"/>
        </w:rPr>
        <w:t>验收及技术服务</w:t>
      </w:r>
    </w:p>
    <w:p w14:paraId="0CD7827F">
      <w:pPr>
        <w:widowControl w:val="0"/>
        <w:wordWrap/>
        <w:ind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五、提供资料</w:t>
      </w:r>
    </w:p>
    <w:p w14:paraId="2DEEE302">
      <w:pPr>
        <w:widowControl w:val="0"/>
        <w:wordWrap/>
        <w:ind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六、交货时间及地点</w:t>
      </w:r>
    </w:p>
    <w:p w14:paraId="163DD83A">
      <w:pPr>
        <w:widowControl w:val="0"/>
        <w:wordWrap/>
        <w:ind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七、其它</w:t>
      </w:r>
    </w:p>
    <w:p w14:paraId="61AABED5">
      <w:pPr>
        <w:widowControl w:val="0"/>
        <w:wordWrap/>
        <w:ind w:firstLine="600" w:firstLineChars="200"/>
        <w:rPr>
          <w:rFonts w:hint="eastAsia" w:ascii="仿宋_GB2312" w:hAnsi="仿宋_GB2312" w:eastAsia="仿宋_GB2312" w:cs="仿宋_GB2312"/>
          <w:kern w:val="2"/>
          <w:sz w:val="30"/>
          <w:szCs w:val="30"/>
        </w:rPr>
      </w:pPr>
    </w:p>
    <w:p w14:paraId="152F5D4B">
      <w:pPr>
        <w:widowControl w:val="0"/>
        <w:wordWrap/>
        <w:ind w:firstLine="600" w:firstLineChars="200"/>
        <w:rPr>
          <w:rFonts w:hint="eastAsia" w:ascii="仿宋_GB2312" w:hAnsi="仿宋_GB2312" w:eastAsia="仿宋_GB2312" w:cs="仿宋_GB2312"/>
          <w:kern w:val="2"/>
          <w:sz w:val="30"/>
          <w:szCs w:val="30"/>
        </w:rPr>
      </w:pPr>
    </w:p>
    <w:p w14:paraId="06A10DFD">
      <w:pPr>
        <w:widowControl w:val="0"/>
        <w:wordWrap/>
        <w:ind w:firstLine="600" w:firstLineChars="200"/>
        <w:rPr>
          <w:rFonts w:hint="eastAsia" w:ascii="仿宋_GB2312" w:hAnsi="仿宋_GB2312" w:eastAsia="仿宋_GB2312" w:cs="仿宋_GB2312"/>
          <w:kern w:val="2"/>
          <w:sz w:val="30"/>
          <w:szCs w:val="30"/>
        </w:rPr>
      </w:pPr>
    </w:p>
    <w:p w14:paraId="1080317B">
      <w:pPr>
        <w:widowControl w:val="0"/>
        <w:wordWrap/>
        <w:ind w:firstLine="600" w:firstLineChars="200"/>
        <w:rPr>
          <w:rFonts w:hint="eastAsia" w:ascii="仿宋_GB2312" w:hAnsi="仿宋_GB2312" w:eastAsia="仿宋_GB2312" w:cs="仿宋_GB2312"/>
          <w:kern w:val="2"/>
          <w:sz w:val="30"/>
          <w:szCs w:val="30"/>
        </w:rPr>
      </w:pPr>
    </w:p>
    <w:p w14:paraId="649D91C7">
      <w:pPr>
        <w:widowControl w:val="0"/>
        <w:wordWrap/>
        <w:ind w:firstLine="600" w:firstLineChars="200"/>
        <w:rPr>
          <w:rFonts w:hint="eastAsia" w:ascii="仿宋_GB2312" w:hAnsi="仿宋_GB2312" w:eastAsia="仿宋_GB2312" w:cs="仿宋_GB2312"/>
          <w:kern w:val="2"/>
          <w:sz w:val="30"/>
          <w:szCs w:val="30"/>
        </w:rPr>
      </w:pPr>
    </w:p>
    <w:p w14:paraId="5C5C008F">
      <w:pPr>
        <w:widowControl w:val="0"/>
        <w:wordWrap/>
        <w:ind w:firstLine="600" w:firstLineChars="200"/>
        <w:rPr>
          <w:rFonts w:hint="eastAsia" w:ascii="仿宋_GB2312" w:hAnsi="仿宋_GB2312" w:eastAsia="仿宋_GB2312" w:cs="仿宋_GB2312"/>
          <w:kern w:val="2"/>
          <w:sz w:val="30"/>
          <w:szCs w:val="30"/>
        </w:rPr>
      </w:pPr>
    </w:p>
    <w:p w14:paraId="2C1DCF32">
      <w:pPr>
        <w:widowControl w:val="0"/>
        <w:wordWrap/>
        <w:ind w:firstLine="600" w:firstLineChars="200"/>
        <w:rPr>
          <w:rFonts w:hint="eastAsia" w:ascii="仿宋_GB2312" w:hAnsi="仿宋_GB2312" w:eastAsia="仿宋_GB2312" w:cs="仿宋_GB2312"/>
          <w:kern w:val="2"/>
          <w:sz w:val="30"/>
          <w:szCs w:val="30"/>
        </w:rPr>
      </w:pPr>
    </w:p>
    <w:p w14:paraId="5EEE6692">
      <w:pPr>
        <w:widowControl w:val="0"/>
        <w:wordWrap/>
        <w:ind w:firstLine="600" w:firstLineChars="200"/>
        <w:rPr>
          <w:rFonts w:hint="eastAsia" w:ascii="仿宋_GB2312" w:hAnsi="仿宋_GB2312" w:eastAsia="仿宋_GB2312" w:cs="仿宋_GB2312"/>
          <w:kern w:val="2"/>
          <w:sz w:val="30"/>
          <w:szCs w:val="30"/>
        </w:rPr>
      </w:pPr>
    </w:p>
    <w:p w14:paraId="5E48221A">
      <w:pPr>
        <w:widowControl w:val="0"/>
        <w:wordWrap/>
        <w:ind w:firstLine="600" w:firstLineChars="200"/>
        <w:rPr>
          <w:rFonts w:hint="eastAsia" w:ascii="仿宋_GB2312" w:hAnsi="仿宋_GB2312" w:eastAsia="仿宋_GB2312" w:cs="仿宋_GB2312"/>
          <w:kern w:val="2"/>
          <w:sz w:val="30"/>
          <w:szCs w:val="30"/>
        </w:rPr>
      </w:pPr>
    </w:p>
    <w:p w14:paraId="3E54FA2A">
      <w:pPr>
        <w:widowControl w:val="0"/>
        <w:wordWrap/>
        <w:ind w:firstLine="600" w:firstLineChars="200"/>
        <w:rPr>
          <w:rFonts w:hint="eastAsia" w:ascii="仿宋_GB2312" w:hAnsi="仿宋_GB2312" w:eastAsia="仿宋_GB2312" w:cs="仿宋_GB2312"/>
          <w:kern w:val="2"/>
          <w:sz w:val="30"/>
          <w:szCs w:val="30"/>
        </w:rPr>
      </w:pPr>
    </w:p>
    <w:p w14:paraId="646B5B5D">
      <w:pPr>
        <w:widowControl w:val="0"/>
        <w:wordWrap/>
        <w:ind w:firstLine="600" w:firstLineChars="200"/>
        <w:rPr>
          <w:rFonts w:hint="eastAsia" w:ascii="仿宋_GB2312" w:hAnsi="仿宋_GB2312" w:eastAsia="仿宋_GB2312" w:cs="仿宋_GB2312"/>
          <w:kern w:val="2"/>
          <w:sz w:val="30"/>
          <w:szCs w:val="30"/>
        </w:rPr>
      </w:pPr>
    </w:p>
    <w:p w14:paraId="5C9E72D0">
      <w:pPr>
        <w:widowControl w:val="0"/>
        <w:wordWrap/>
        <w:ind w:firstLine="600" w:firstLineChars="200"/>
        <w:rPr>
          <w:rFonts w:hint="eastAsia" w:ascii="仿宋_GB2312" w:hAnsi="仿宋_GB2312" w:eastAsia="仿宋_GB2312" w:cs="仿宋_GB2312"/>
          <w:kern w:val="2"/>
          <w:sz w:val="30"/>
          <w:szCs w:val="30"/>
        </w:rPr>
      </w:pPr>
    </w:p>
    <w:p w14:paraId="70274346">
      <w:pPr>
        <w:widowControl w:val="0"/>
        <w:wordWrap/>
        <w:ind w:firstLine="600" w:firstLineChars="200"/>
        <w:rPr>
          <w:rFonts w:hint="eastAsia" w:ascii="仿宋_GB2312" w:hAnsi="仿宋_GB2312" w:eastAsia="仿宋_GB2312" w:cs="仿宋_GB2312"/>
          <w:kern w:val="2"/>
          <w:sz w:val="30"/>
          <w:szCs w:val="30"/>
        </w:rPr>
      </w:pPr>
    </w:p>
    <w:p w14:paraId="2015632E">
      <w:pPr>
        <w:pStyle w:val="9"/>
        <w:ind w:firstLine="420"/>
      </w:pPr>
    </w:p>
    <w:p w14:paraId="5B7D9A40">
      <w:pPr>
        <w:widowControl w:val="0"/>
        <w:wordWrap/>
        <w:ind w:firstLine="600" w:firstLineChars="200"/>
        <w:jc w:val="left"/>
        <w:rPr>
          <w:rFonts w:hint="eastAsia" w:ascii="仿宋_GB2312" w:hAnsi="仿宋_GB2312" w:eastAsia="仿宋_GB2312" w:cs="仿宋_GB2312"/>
          <w:kern w:val="2"/>
          <w:sz w:val="30"/>
          <w:szCs w:val="30"/>
          <w:lang w:val="en-GB"/>
        </w:rPr>
      </w:pPr>
      <w:r>
        <w:rPr>
          <w:rFonts w:hint="eastAsia" w:ascii="仿宋_GB2312" w:hAnsi="仿宋_GB2312" w:eastAsia="仿宋_GB2312" w:cs="仿宋_GB2312"/>
          <w:kern w:val="2"/>
          <w:sz w:val="30"/>
          <w:szCs w:val="30"/>
        </w:rPr>
        <w:t>甘肃酒钢集团宏兴钢铁股份有限公司动力厂</w:t>
      </w:r>
      <w:r>
        <w:rPr>
          <w:rFonts w:hint="eastAsia" w:ascii="仿宋_GB2312" w:hAnsi="仿宋_GB2312" w:eastAsia="仿宋_GB2312" w:cs="仿宋_GB2312"/>
          <w:kern w:val="2"/>
          <w:sz w:val="30"/>
          <w:szCs w:val="30"/>
          <w:lang w:val="en-GB"/>
        </w:rPr>
        <w:t>（以下称甲方）与</w:t>
      </w:r>
      <w:r>
        <w:rPr>
          <w:rFonts w:hint="eastAsia" w:ascii="仿宋_GB2312" w:hAnsi="仿宋_GB2312" w:eastAsia="仿宋_GB2312" w:cs="仿宋_GB2312"/>
          <w:kern w:val="2"/>
          <w:sz w:val="30"/>
          <w:szCs w:val="30"/>
          <w:u w:val="single"/>
        </w:rPr>
        <w:t xml:space="preserve">                   </w:t>
      </w:r>
      <w:r>
        <w:rPr>
          <w:rFonts w:hint="eastAsia" w:ascii="仿宋_GB2312" w:hAnsi="仿宋_GB2312" w:eastAsia="仿宋_GB2312" w:cs="仿宋_GB2312"/>
          <w:kern w:val="2"/>
          <w:sz w:val="30"/>
          <w:szCs w:val="30"/>
          <w:lang w:val="en-GB"/>
        </w:rPr>
        <w:t>（以下称乙方）就甲方</w:t>
      </w:r>
      <w:r>
        <w:rPr>
          <w:rFonts w:hint="eastAsia" w:ascii="仿宋_GB2312" w:hAnsi="仿宋_GB2312" w:eastAsia="仿宋_GB2312" w:cs="仿宋_GB2312"/>
          <w:kern w:val="2"/>
          <w:sz w:val="30"/>
          <w:szCs w:val="30"/>
        </w:rPr>
        <w:t xml:space="preserve">高效节能长轴泵\450m3/h 33m 工业废水（含固体颗粒） 250LCT-40A×1-10000 </w:t>
      </w:r>
      <w:r>
        <w:rPr>
          <w:rFonts w:hint="eastAsia" w:ascii="仿宋_GB2312" w:hAnsi="仿宋_GB2312" w:eastAsia="仿宋_GB2312" w:cs="仿宋_GB2312"/>
          <w:kern w:val="2"/>
          <w:sz w:val="30"/>
          <w:szCs w:val="30"/>
          <w:lang w:val="en-GB"/>
        </w:rPr>
        <w:t>采购经双方协商，达成如下技术规格书：</w:t>
      </w:r>
    </w:p>
    <w:p w14:paraId="18850E0A">
      <w:pPr>
        <w:pStyle w:val="6"/>
        <w:ind w:left="0" w:leftChars="0" w:firstLine="0"/>
        <w:jc w:val="left"/>
        <w:rPr>
          <w:rFonts w:hint="eastAsia" w:ascii="仿宋_GB2312" w:hAnsi="仿宋_GB2312" w:eastAsia="仿宋_GB2312" w:cs="仿宋_GB2312"/>
          <w:sz w:val="30"/>
          <w:szCs w:val="30"/>
        </w:rPr>
      </w:pPr>
      <w:r>
        <w:rPr>
          <w:rFonts w:hint="eastAsia" w:ascii="仿宋_GB2312" w:hAnsi="仿宋_GB2312" w:eastAsia="仿宋_GB2312" w:cs="仿宋_GB2312"/>
          <w:b/>
          <w:bCs/>
          <w:sz w:val="30"/>
          <w:szCs w:val="30"/>
        </w:rPr>
        <w:t>一、总则</w:t>
      </w:r>
      <w:r>
        <w:rPr>
          <w:rFonts w:hint="eastAsia" w:ascii="仿宋_GB2312" w:hAnsi="仿宋_GB2312" w:eastAsia="仿宋_GB2312" w:cs="仿宋_GB2312"/>
          <w:sz w:val="30"/>
          <w:szCs w:val="30"/>
        </w:rPr>
        <w:t>（包括协议的目的、适用范围等基本原则）如：</w:t>
      </w:r>
    </w:p>
    <w:p w14:paraId="336810BC">
      <w:pPr>
        <w:ind w:firstLine="600"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w:t>
      </w:r>
      <w:r>
        <w:rPr>
          <w:rFonts w:hint="eastAsia" w:ascii="仿宋_GB2312" w:hAnsi="仿宋_GB2312" w:eastAsia="仿宋_GB2312" w:cs="仿宋_GB2312"/>
          <w:kern w:val="2"/>
          <w:sz w:val="30"/>
          <w:szCs w:val="30"/>
        </w:rPr>
        <w:t>本技术规格书作为甲方设备订货合同的附件，与订货合同同时生效，具有同等法律效力。合同执行期间双方再协商形成的补充协议和追加条款也具有同等法律效力。它提出设备的功能设计、结构、性能、安装和试验等方面的技术要求。</w:t>
      </w:r>
    </w:p>
    <w:p w14:paraId="0267010E">
      <w:pPr>
        <w:pStyle w:val="6"/>
        <w:ind w:left="0" w:leftChars="0"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sz w:val="30"/>
          <w:szCs w:val="30"/>
        </w:rPr>
        <w:t>2.</w:t>
      </w:r>
      <w:r>
        <w:rPr>
          <w:rFonts w:hint="eastAsia" w:ascii="仿宋_GB2312" w:hAnsi="仿宋_GB2312" w:eastAsia="仿宋_GB2312" w:cs="仿宋_GB2312"/>
          <w:kern w:val="2"/>
          <w:sz w:val="30"/>
          <w:szCs w:val="30"/>
        </w:rPr>
        <w:t>本技术规格书提出的是最低限度的技术要求，并未对一切技术要求作出详细规定，也未充分引述有关标准及规范的条文。卖方应保证提供符合本规范书和相关的国际、国内工业标准的高质量产品及其相应服务，对国家有关安全、环保等强制性标准，必须满足其要求。</w:t>
      </w:r>
    </w:p>
    <w:p w14:paraId="17375BDF">
      <w:pPr>
        <w:spacing w:line="560" w:lineRule="exact"/>
        <w:ind w:firstLine="482"/>
        <w:jc w:val="left"/>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3.卖方提供的设备应是成熟可靠、技术先进的产品，在钢铁行业机组有2家及以上运行超过3年，已证明安全可靠的优质产品。</w:t>
      </w:r>
    </w:p>
    <w:p w14:paraId="38AC9555">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4.对于国家明令禁止使用的和已淘汰的产品和设备，一律不准在本工程中使用。在电控元件中不准采用原厂家已经确定不再生产的和即将换代的电子元件产品。</w:t>
      </w:r>
    </w:p>
    <w:p w14:paraId="3138DFBB">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5.若卖方所提供的投标文件前后有不一致的地方，应以更有利于设备安装运行、工程质量为原则，由买方确定。</w:t>
      </w:r>
    </w:p>
    <w:p w14:paraId="78E91315">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6.卖方应按技术规范书中顺序逐条应答，如对本技术规范书有偏差（无论多少）都必须清楚地表示在本技术规范书中的 “差异表”中。否则将认为卖方提供的设备完全符合本技术规范书和标准的要求。</w:t>
      </w:r>
    </w:p>
    <w:p w14:paraId="7D1D0443">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7.本技术规格书所引用的标准若与卖方所执行的标准发生矛盾时，按较高的标准执行。卖方在设备设计和制造中所涉及的各项规程、规范和标准必须遵循现行最新标准版本。</w:t>
      </w:r>
    </w:p>
    <w:p w14:paraId="647B2459">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8.在合同签定后，买方有权因规范、标准、规程发生变化而提出一些补充要求。在设备投料生产前，卖方应在设计上给予修改，具体项目由供需双方共同商定。</w:t>
      </w:r>
    </w:p>
    <w:p w14:paraId="2E8FDA33">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9.在合同签订15天内，按本技术规格书的要求，卖方提出合同设备的设计、制造、检验/试验、装配、安装、调试、试运、验收、试验、运行和维护等标准清单给买方，供买方确认。</w:t>
      </w:r>
    </w:p>
    <w:p w14:paraId="0DDD99CC">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10.乙方在合同货物制造中，发生侵犯专利的行为时其侵权责任与甲方无关。</w:t>
      </w:r>
    </w:p>
    <w:p w14:paraId="75D43EC1">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11.乙方须对水泵转子总成设计的完整性、合理性和设计质量承担全部责任。</w:t>
      </w:r>
    </w:p>
    <w:p w14:paraId="0BFD2ED5">
      <w:pPr>
        <w:widowControl w:val="0"/>
        <w:wordWrap/>
        <w:ind w:firstLine="602" w:firstLineChars="200"/>
        <w:rPr>
          <w:rFonts w:hint="eastAsia" w:ascii="仿宋_GB2312" w:hAnsi="仿宋_GB2312" w:eastAsia="仿宋_GB2312" w:cs="仿宋_GB2312"/>
          <w:b/>
          <w:bCs/>
          <w:kern w:val="2"/>
          <w:sz w:val="30"/>
          <w:szCs w:val="30"/>
          <w:lang w:val="en-GB"/>
        </w:rPr>
      </w:pPr>
      <w:r>
        <w:rPr>
          <w:rFonts w:hint="eastAsia" w:ascii="仿宋_GB2312" w:hAnsi="仿宋_GB2312" w:eastAsia="仿宋_GB2312" w:cs="仿宋_GB2312"/>
          <w:b/>
          <w:bCs/>
          <w:kern w:val="2"/>
          <w:sz w:val="30"/>
          <w:szCs w:val="30"/>
          <w:lang w:val="en-GB"/>
        </w:rPr>
        <w:t>二、供货范围及设备参数</w:t>
      </w:r>
    </w:p>
    <w:p w14:paraId="7C37878D">
      <w:pPr>
        <w:widowControl w:val="0"/>
        <w:wordWrap/>
        <w:ind w:firstLine="600" w:firstLineChars="200"/>
        <w:rPr>
          <w:rFonts w:hint="eastAsia" w:ascii="仿宋_GB2312" w:hAnsi="仿宋_GB2312" w:eastAsia="仿宋_GB2312" w:cs="仿宋_GB2312"/>
          <w:sz w:val="30"/>
          <w:szCs w:val="30"/>
          <w:lang w:val="en-GB"/>
        </w:rPr>
      </w:pPr>
      <w:r>
        <w:rPr>
          <w:rFonts w:hint="eastAsia" w:ascii="仿宋_GB2312" w:hAnsi="仿宋_GB2312" w:eastAsia="仿宋_GB2312" w:cs="仿宋_GB2312"/>
          <w:kern w:val="2"/>
          <w:sz w:val="30"/>
          <w:szCs w:val="30"/>
        </w:rPr>
        <w:t>1.供货范围</w:t>
      </w:r>
    </w:p>
    <w:tbl>
      <w:tblPr>
        <w:tblStyle w:val="7"/>
        <w:tblW w:w="8529" w:type="dxa"/>
        <w:tblInd w:w="0" w:type="dxa"/>
        <w:tblLayout w:type="fixed"/>
        <w:tblCellMar>
          <w:top w:w="0" w:type="dxa"/>
          <w:left w:w="108" w:type="dxa"/>
          <w:bottom w:w="0" w:type="dxa"/>
          <w:right w:w="108" w:type="dxa"/>
        </w:tblCellMar>
      </w:tblPr>
      <w:tblGrid>
        <w:gridCol w:w="700"/>
        <w:gridCol w:w="1919"/>
        <w:gridCol w:w="2775"/>
        <w:gridCol w:w="1380"/>
        <w:gridCol w:w="1755"/>
      </w:tblGrid>
      <w:tr w14:paraId="065FC9F5">
        <w:tblPrEx>
          <w:tblCellMar>
            <w:top w:w="0" w:type="dxa"/>
            <w:left w:w="108" w:type="dxa"/>
            <w:bottom w:w="0" w:type="dxa"/>
            <w:right w:w="108" w:type="dxa"/>
          </w:tblCellMar>
        </w:tblPrEx>
        <w:trPr>
          <w:trHeight w:val="718" w:hRule="atLeast"/>
        </w:trPr>
        <w:tc>
          <w:tcPr>
            <w:tcW w:w="700" w:type="dxa"/>
            <w:tcBorders>
              <w:top w:val="single" w:color="auto" w:sz="4" w:space="0"/>
              <w:left w:val="single" w:color="auto" w:sz="4" w:space="0"/>
              <w:bottom w:val="single" w:color="auto" w:sz="4" w:space="0"/>
              <w:right w:val="single" w:color="auto" w:sz="4" w:space="0"/>
            </w:tcBorders>
            <w:vAlign w:val="center"/>
          </w:tcPr>
          <w:p w14:paraId="78F2F59E">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序号</w:t>
            </w:r>
          </w:p>
        </w:tc>
        <w:tc>
          <w:tcPr>
            <w:tcW w:w="1919" w:type="dxa"/>
            <w:tcBorders>
              <w:top w:val="single" w:color="auto" w:sz="4" w:space="0"/>
              <w:left w:val="single" w:color="auto" w:sz="4" w:space="0"/>
              <w:bottom w:val="single" w:color="auto" w:sz="4" w:space="0"/>
              <w:right w:val="single" w:color="auto" w:sz="4" w:space="0"/>
            </w:tcBorders>
            <w:vAlign w:val="center"/>
          </w:tcPr>
          <w:p w14:paraId="0C321FE8">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物料名称</w:t>
            </w:r>
          </w:p>
        </w:tc>
        <w:tc>
          <w:tcPr>
            <w:tcW w:w="2775" w:type="dxa"/>
            <w:tcBorders>
              <w:top w:val="single" w:color="auto" w:sz="4" w:space="0"/>
              <w:left w:val="single" w:color="auto" w:sz="4" w:space="0"/>
              <w:bottom w:val="single" w:color="auto" w:sz="4" w:space="0"/>
              <w:right w:val="single" w:color="auto" w:sz="4" w:space="0"/>
            </w:tcBorders>
            <w:vAlign w:val="center"/>
          </w:tcPr>
          <w:p w14:paraId="586EDD76">
            <w:pPr>
              <w:widowControl w:val="0"/>
              <w:wordWrap/>
              <w:ind w:firstLine="960" w:firstLineChars="4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规格型号</w:t>
            </w:r>
          </w:p>
        </w:tc>
        <w:tc>
          <w:tcPr>
            <w:tcW w:w="1380" w:type="dxa"/>
            <w:tcBorders>
              <w:top w:val="single" w:color="auto" w:sz="4" w:space="0"/>
              <w:left w:val="single" w:color="auto" w:sz="4" w:space="0"/>
              <w:bottom w:val="single" w:color="auto" w:sz="4" w:space="0"/>
              <w:right w:val="single" w:color="auto" w:sz="4" w:space="0"/>
            </w:tcBorders>
            <w:vAlign w:val="center"/>
          </w:tcPr>
          <w:p w14:paraId="15AF4B7A">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物料编码</w:t>
            </w:r>
          </w:p>
        </w:tc>
        <w:tc>
          <w:tcPr>
            <w:tcW w:w="1755" w:type="dxa"/>
            <w:tcBorders>
              <w:top w:val="single" w:color="auto" w:sz="4" w:space="0"/>
              <w:left w:val="single" w:color="auto" w:sz="4" w:space="0"/>
              <w:bottom w:val="single" w:color="auto" w:sz="4" w:space="0"/>
              <w:right w:val="single" w:color="auto" w:sz="4" w:space="0"/>
            </w:tcBorders>
            <w:vAlign w:val="center"/>
          </w:tcPr>
          <w:p w14:paraId="51BC8629">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数量</w:t>
            </w:r>
          </w:p>
        </w:tc>
      </w:tr>
      <w:tr w14:paraId="48A8C089">
        <w:tblPrEx>
          <w:tblCellMar>
            <w:top w:w="0" w:type="dxa"/>
            <w:left w:w="108" w:type="dxa"/>
            <w:bottom w:w="0" w:type="dxa"/>
            <w:right w:w="108" w:type="dxa"/>
          </w:tblCellMar>
        </w:tblPrEx>
        <w:trPr>
          <w:trHeight w:val="653" w:hRule="atLeast"/>
        </w:trPr>
        <w:tc>
          <w:tcPr>
            <w:tcW w:w="700" w:type="dxa"/>
            <w:tcBorders>
              <w:top w:val="single" w:color="auto" w:sz="4" w:space="0"/>
              <w:left w:val="single" w:color="auto" w:sz="4" w:space="0"/>
              <w:bottom w:val="single" w:color="auto" w:sz="4" w:space="0"/>
              <w:right w:val="single" w:color="auto" w:sz="4" w:space="0"/>
            </w:tcBorders>
            <w:vAlign w:val="center"/>
          </w:tcPr>
          <w:p w14:paraId="1282DA1E">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1919" w:type="dxa"/>
            <w:tcBorders>
              <w:top w:val="single" w:color="auto" w:sz="4" w:space="0"/>
              <w:left w:val="single" w:color="auto" w:sz="4" w:space="0"/>
              <w:bottom w:val="single" w:color="auto" w:sz="4" w:space="0"/>
              <w:right w:val="single" w:color="auto" w:sz="4" w:space="0"/>
            </w:tcBorders>
            <w:vAlign w:val="center"/>
          </w:tcPr>
          <w:p w14:paraId="72EA7A18">
            <w:pPr>
              <w:widowControl w:val="0"/>
              <w:wordWrap/>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高效节能长轴泵</w:t>
            </w:r>
          </w:p>
        </w:tc>
        <w:tc>
          <w:tcPr>
            <w:tcW w:w="2775" w:type="dxa"/>
            <w:tcBorders>
              <w:top w:val="single" w:color="auto" w:sz="4" w:space="0"/>
              <w:left w:val="single" w:color="auto" w:sz="4" w:space="0"/>
              <w:bottom w:val="single" w:color="auto" w:sz="4" w:space="0"/>
              <w:right w:val="single" w:color="auto" w:sz="4" w:space="0"/>
            </w:tcBorders>
            <w:vAlign w:val="center"/>
          </w:tcPr>
          <w:p w14:paraId="7AD6C71F">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450m3/h 33m 工业废水（含固体颗粒） 250LCT-40A×1-10000 </w:t>
            </w:r>
          </w:p>
        </w:tc>
        <w:tc>
          <w:tcPr>
            <w:tcW w:w="1380" w:type="dxa"/>
            <w:tcBorders>
              <w:top w:val="single" w:color="auto" w:sz="4" w:space="0"/>
              <w:left w:val="single" w:color="auto" w:sz="4" w:space="0"/>
              <w:bottom w:val="single" w:color="auto" w:sz="4" w:space="0"/>
              <w:right w:val="single" w:color="auto" w:sz="4" w:space="0"/>
            </w:tcBorders>
            <w:vAlign w:val="center"/>
          </w:tcPr>
          <w:p w14:paraId="4BF6185B">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70429545</w:t>
            </w:r>
          </w:p>
        </w:tc>
        <w:tc>
          <w:tcPr>
            <w:tcW w:w="1755" w:type="dxa"/>
            <w:tcBorders>
              <w:top w:val="single" w:color="auto" w:sz="4" w:space="0"/>
              <w:left w:val="single" w:color="auto" w:sz="4" w:space="0"/>
              <w:bottom w:val="single" w:color="auto" w:sz="4" w:space="0"/>
              <w:right w:val="single" w:color="auto" w:sz="4" w:space="0"/>
            </w:tcBorders>
            <w:vAlign w:val="center"/>
          </w:tcPr>
          <w:p w14:paraId="38FC0026">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1台</w:t>
            </w:r>
          </w:p>
        </w:tc>
      </w:tr>
    </w:tbl>
    <w:p w14:paraId="40B80242">
      <w:pPr>
        <w:pStyle w:val="6"/>
        <w:ind w:firstLine="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2.原设备参数</w:t>
      </w:r>
    </w:p>
    <w:tbl>
      <w:tblPr>
        <w:tblStyle w:val="7"/>
        <w:tblW w:w="0" w:type="auto"/>
        <w:jc w:val="center"/>
        <w:tblLayout w:type="fixed"/>
        <w:tblCellMar>
          <w:top w:w="0" w:type="dxa"/>
          <w:left w:w="0" w:type="dxa"/>
          <w:bottom w:w="0" w:type="dxa"/>
          <w:right w:w="0" w:type="dxa"/>
        </w:tblCellMar>
      </w:tblPr>
      <w:tblGrid>
        <w:gridCol w:w="3225"/>
        <w:gridCol w:w="1863"/>
        <w:gridCol w:w="3415"/>
      </w:tblGrid>
      <w:tr w14:paraId="1A84893A">
        <w:tblPrEx>
          <w:tblCellMar>
            <w:top w:w="0" w:type="dxa"/>
            <w:left w:w="0" w:type="dxa"/>
            <w:bottom w:w="0" w:type="dxa"/>
            <w:right w:w="0" w:type="dxa"/>
          </w:tblCellMar>
        </w:tblPrEx>
        <w:trPr>
          <w:trHeight w:val="23" w:hRule="atLeast"/>
          <w:jc w:val="center"/>
        </w:trPr>
        <w:tc>
          <w:tcPr>
            <w:tcW w:w="322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B262CE7">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项    目</w:t>
            </w:r>
          </w:p>
        </w:tc>
        <w:tc>
          <w:tcPr>
            <w:tcW w:w="186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F01A4BF">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单 位</w:t>
            </w:r>
          </w:p>
        </w:tc>
        <w:tc>
          <w:tcPr>
            <w:tcW w:w="34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BF56801">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参数</w:t>
            </w:r>
          </w:p>
        </w:tc>
      </w:tr>
      <w:tr w14:paraId="19BFA8C7">
        <w:tblPrEx>
          <w:tblCellMar>
            <w:top w:w="0" w:type="dxa"/>
            <w:left w:w="0" w:type="dxa"/>
            <w:bottom w:w="0" w:type="dxa"/>
            <w:right w:w="0" w:type="dxa"/>
          </w:tblCellMar>
        </w:tblPrEx>
        <w:trPr>
          <w:trHeight w:val="23" w:hRule="atLeast"/>
          <w:jc w:val="center"/>
        </w:trPr>
        <w:tc>
          <w:tcPr>
            <w:tcW w:w="322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464C39C">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水泵型号</w:t>
            </w:r>
          </w:p>
        </w:tc>
        <w:tc>
          <w:tcPr>
            <w:tcW w:w="186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6BFCF1F">
            <w:pPr>
              <w:widowControl w:val="0"/>
              <w:wordWrap/>
              <w:jc w:val="center"/>
              <w:rPr>
                <w:rFonts w:hint="eastAsia" w:ascii="仿宋_GB2312" w:hAnsi="仿宋_GB2312" w:eastAsia="仿宋_GB2312" w:cs="仿宋_GB2312"/>
                <w:sz w:val="24"/>
                <w:szCs w:val="24"/>
              </w:rPr>
            </w:pPr>
          </w:p>
        </w:tc>
        <w:tc>
          <w:tcPr>
            <w:tcW w:w="34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5083446">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450m3/h 33m  250LCT-40A×1-10000</w:t>
            </w:r>
          </w:p>
        </w:tc>
      </w:tr>
      <w:tr w14:paraId="5107F4EB">
        <w:tblPrEx>
          <w:tblCellMar>
            <w:top w:w="0" w:type="dxa"/>
            <w:left w:w="0" w:type="dxa"/>
            <w:bottom w:w="0" w:type="dxa"/>
            <w:right w:w="0" w:type="dxa"/>
          </w:tblCellMar>
        </w:tblPrEx>
        <w:trPr>
          <w:trHeight w:val="23" w:hRule="atLeast"/>
          <w:jc w:val="center"/>
        </w:trPr>
        <w:tc>
          <w:tcPr>
            <w:tcW w:w="322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4D192CB">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水泵型式</w:t>
            </w:r>
          </w:p>
        </w:tc>
        <w:tc>
          <w:tcPr>
            <w:tcW w:w="186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4CE9779">
            <w:pPr>
              <w:widowControl w:val="0"/>
              <w:wordWrap/>
              <w:jc w:val="center"/>
              <w:rPr>
                <w:rFonts w:hint="eastAsia" w:ascii="仿宋_GB2312" w:hAnsi="仿宋_GB2312" w:eastAsia="仿宋_GB2312" w:cs="仿宋_GB2312"/>
                <w:sz w:val="24"/>
                <w:szCs w:val="24"/>
              </w:rPr>
            </w:pPr>
          </w:p>
        </w:tc>
        <w:tc>
          <w:tcPr>
            <w:tcW w:w="34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271168E">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立式离心泵</w:t>
            </w:r>
          </w:p>
        </w:tc>
      </w:tr>
      <w:tr w14:paraId="6EC26DCB">
        <w:tblPrEx>
          <w:tblCellMar>
            <w:top w:w="0" w:type="dxa"/>
            <w:left w:w="0" w:type="dxa"/>
            <w:bottom w:w="0" w:type="dxa"/>
            <w:right w:w="0" w:type="dxa"/>
          </w:tblCellMar>
        </w:tblPrEx>
        <w:trPr>
          <w:trHeight w:val="23" w:hRule="atLeast"/>
          <w:jc w:val="center"/>
        </w:trPr>
        <w:tc>
          <w:tcPr>
            <w:tcW w:w="322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E0A8210">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流量</w:t>
            </w:r>
          </w:p>
        </w:tc>
        <w:tc>
          <w:tcPr>
            <w:tcW w:w="186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55796A7">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m3/h</w:t>
            </w:r>
          </w:p>
        </w:tc>
        <w:tc>
          <w:tcPr>
            <w:tcW w:w="34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D7E99B0">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450</w:t>
            </w:r>
            <w:r>
              <w:rPr>
                <w:rFonts w:ascii="仿宋_GB2312" w:hAnsi="仿宋_GB2312" w:eastAsia="仿宋_GB2312" w:cs="仿宋_GB2312"/>
                <w:sz w:val="24"/>
                <w:szCs w:val="24"/>
              </w:rPr>
              <w:t>m3/h</w:t>
            </w:r>
          </w:p>
        </w:tc>
      </w:tr>
      <w:tr w14:paraId="26918EB7">
        <w:tblPrEx>
          <w:tblCellMar>
            <w:top w:w="0" w:type="dxa"/>
            <w:left w:w="0" w:type="dxa"/>
            <w:bottom w:w="0" w:type="dxa"/>
            <w:right w:w="0" w:type="dxa"/>
          </w:tblCellMar>
        </w:tblPrEx>
        <w:trPr>
          <w:trHeight w:val="294" w:hRule="atLeast"/>
          <w:jc w:val="center"/>
        </w:trPr>
        <w:tc>
          <w:tcPr>
            <w:tcW w:w="322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8DFCA5A">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扬程</w:t>
            </w:r>
          </w:p>
        </w:tc>
        <w:tc>
          <w:tcPr>
            <w:tcW w:w="186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1D46BE9">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m</w:t>
            </w:r>
          </w:p>
        </w:tc>
        <w:tc>
          <w:tcPr>
            <w:tcW w:w="34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4321DAD">
            <w:pPr>
              <w:widowControl w:val="0"/>
              <w:wordWrap/>
              <w:jc w:val="center"/>
              <w:rPr>
                <w:rFonts w:hint="eastAsia" w:ascii="仿宋_GB2312" w:hAnsi="仿宋_GB2312" w:eastAsia="仿宋_GB2312" w:cs="仿宋_GB2312"/>
                <w:sz w:val="24"/>
                <w:szCs w:val="24"/>
              </w:rPr>
            </w:pPr>
            <w:r>
              <w:rPr>
                <w:rFonts w:ascii="仿宋_GB2312" w:hAnsi="仿宋_GB2312" w:eastAsia="仿宋_GB2312" w:cs="仿宋_GB2312"/>
                <w:sz w:val="24"/>
                <w:szCs w:val="24"/>
              </w:rPr>
              <w:t>3</w:t>
            </w:r>
            <w:r>
              <w:rPr>
                <w:rFonts w:hint="eastAsia" w:ascii="仿宋_GB2312" w:hAnsi="仿宋_GB2312" w:eastAsia="仿宋_GB2312" w:cs="仿宋_GB2312"/>
                <w:sz w:val="24"/>
                <w:szCs w:val="24"/>
                <w:lang w:val="en-US" w:eastAsia="zh-CN"/>
              </w:rPr>
              <w:t>3</w:t>
            </w:r>
            <w:r>
              <w:rPr>
                <w:rFonts w:ascii="仿宋_GB2312" w:hAnsi="仿宋_GB2312" w:eastAsia="仿宋_GB2312" w:cs="仿宋_GB2312"/>
                <w:sz w:val="24"/>
                <w:szCs w:val="24"/>
              </w:rPr>
              <w:t>m</w:t>
            </w:r>
          </w:p>
        </w:tc>
      </w:tr>
      <w:tr w14:paraId="0212FF18">
        <w:tblPrEx>
          <w:tblCellMar>
            <w:top w:w="0" w:type="dxa"/>
            <w:left w:w="0" w:type="dxa"/>
            <w:bottom w:w="0" w:type="dxa"/>
            <w:right w:w="0" w:type="dxa"/>
          </w:tblCellMar>
        </w:tblPrEx>
        <w:trPr>
          <w:trHeight w:val="23" w:hRule="atLeast"/>
          <w:jc w:val="center"/>
        </w:trPr>
        <w:tc>
          <w:tcPr>
            <w:tcW w:w="322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E48A293">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配套电机功率</w:t>
            </w:r>
          </w:p>
        </w:tc>
        <w:tc>
          <w:tcPr>
            <w:tcW w:w="186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4793048">
            <w:pPr>
              <w:widowControl w:val="0"/>
              <w:wordWrap/>
              <w:jc w:val="center"/>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kW</w:t>
            </w:r>
          </w:p>
        </w:tc>
        <w:tc>
          <w:tcPr>
            <w:tcW w:w="34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19F9B0B">
            <w:pPr>
              <w:widowControl w:val="0"/>
              <w:wordWrap/>
              <w:jc w:val="center"/>
              <w:rPr>
                <w:rFonts w:hint="default"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75</w:t>
            </w:r>
          </w:p>
        </w:tc>
      </w:tr>
      <w:tr w14:paraId="42C64E02">
        <w:tblPrEx>
          <w:tblCellMar>
            <w:top w:w="0" w:type="dxa"/>
            <w:left w:w="0" w:type="dxa"/>
            <w:bottom w:w="0" w:type="dxa"/>
            <w:right w:w="0" w:type="dxa"/>
          </w:tblCellMar>
        </w:tblPrEx>
        <w:trPr>
          <w:trHeight w:val="23" w:hRule="atLeast"/>
          <w:jc w:val="center"/>
        </w:trPr>
        <w:tc>
          <w:tcPr>
            <w:tcW w:w="322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2AEF0A5">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电压</w:t>
            </w:r>
          </w:p>
        </w:tc>
        <w:tc>
          <w:tcPr>
            <w:tcW w:w="186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F7B0DD0">
            <w:pPr>
              <w:widowControl w:val="0"/>
              <w:wordWrap/>
              <w:jc w:val="center"/>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V</w:t>
            </w:r>
          </w:p>
        </w:tc>
        <w:tc>
          <w:tcPr>
            <w:tcW w:w="34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294B281">
            <w:pPr>
              <w:widowControl w:val="0"/>
              <w:wordWrap/>
              <w:jc w:val="center"/>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380</w:t>
            </w:r>
          </w:p>
        </w:tc>
      </w:tr>
      <w:tr w14:paraId="1403E3F5">
        <w:tblPrEx>
          <w:tblCellMar>
            <w:top w:w="0" w:type="dxa"/>
            <w:left w:w="0" w:type="dxa"/>
            <w:bottom w:w="0" w:type="dxa"/>
            <w:right w:w="0" w:type="dxa"/>
          </w:tblCellMar>
        </w:tblPrEx>
        <w:trPr>
          <w:trHeight w:val="23" w:hRule="atLeast"/>
          <w:jc w:val="center"/>
        </w:trPr>
        <w:tc>
          <w:tcPr>
            <w:tcW w:w="322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50FB3BF">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转速</w:t>
            </w:r>
          </w:p>
        </w:tc>
        <w:tc>
          <w:tcPr>
            <w:tcW w:w="186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979ECA7">
            <w:pPr>
              <w:widowControl w:val="0"/>
              <w:wordWrap/>
              <w:jc w:val="center"/>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r/min</w:t>
            </w:r>
          </w:p>
        </w:tc>
        <w:tc>
          <w:tcPr>
            <w:tcW w:w="34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63B6646">
            <w:pPr>
              <w:widowControl w:val="0"/>
              <w:wordWrap/>
              <w:jc w:val="center"/>
              <w:rPr>
                <w:rFonts w:hint="default"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14</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75</w:t>
            </w:r>
          </w:p>
        </w:tc>
      </w:tr>
    </w:tbl>
    <w:p w14:paraId="30ADC5D5">
      <w:pPr>
        <w:pStyle w:val="6"/>
        <w:ind w:left="0" w:leftChars="0" w:firstLine="602"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b/>
          <w:bCs/>
          <w:kern w:val="2"/>
          <w:sz w:val="30"/>
          <w:szCs w:val="30"/>
        </w:rPr>
        <w:t>三、制造技术要求</w:t>
      </w:r>
    </w:p>
    <w:p w14:paraId="68E50730">
      <w:pPr>
        <w:pStyle w:val="6"/>
        <w:ind w:left="0" w:leftChars="0"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1.设备安装方式：立式</w:t>
      </w:r>
    </w:p>
    <w:p w14:paraId="6E9F720F">
      <w:pPr>
        <w:pStyle w:val="6"/>
        <w:ind w:left="0" w:leftChars="0"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2.工作介质或使用工况：工业废水</w:t>
      </w:r>
      <w:r>
        <w:rPr>
          <w:rFonts w:hint="eastAsia" w:ascii="仿宋_GB2312" w:hAnsi="仿宋_GB2312" w:eastAsia="仿宋_GB2312" w:cs="仿宋_GB2312"/>
          <w:sz w:val="24"/>
          <w:szCs w:val="24"/>
        </w:rPr>
        <w:t>（含固体颗粒）</w:t>
      </w:r>
    </w:p>
    <w:tbl>
      <w:tblPr>
        <w:tblStyle w:val="7"/>
        <w:tblW w:w="0" w:type="auto"/>
        <w:jc w:val="center"/>
        <w:tblLayout w:type="fixed"/>
        <w:tblCellMar>
          <w:top w:w="0" w:type="dxa"/>
          <w:left w:w="108" w:type="dxa"/>
          <w:bottom w:w="0" w:type="dxa"/>
          <w:right w:w="108" w:type="dxa"/>
        </w:tblCellMar>
      </w:tblPr>
      <w:tblGrid>
        <w:gridCol w:w="1348"/>
        <w:gridCol w:w="1417"/>
        <w:gridCol w:w="1350"/>
        <w:gridCol w:w="955"/>
        <w:gridCol w:w="1275"/>
        <w:gridCol w:w="1134"/>
      </w:tblGrid>
      <w:tr w14:paraId="73541D0F">
        <w:tblPrEx>
          <w:tblCellMar>
            <w:top w:w="0" w:type="dxa"/>
            <w:left w:w="108" w:type="dxa"/>
            <w:bottom w:w="0" w:type="dxa"/>
            <w:right w:w="108" w:type="dxa"/>
          </w:tblCellMar>
        </w:tblPrEx>
        <w:trPr>
          <w:trHeight w:val="454" w:hRule="exact"/>
          <w:jc w:val="center"/>
        </w:trPr>
        <w:tc>
          <w:tcPr>
            <w:tcW w:w="134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01FB9B4">
            <w:pPr>
              <w:tabs>
                <w:tab w:val="left" w:pos="0"/>
              </w:tabs>
              <w:spacing w:line="460" w:lineRule="exact"/>
              <w:jc w:val="center"/>
              <w:rPr>
                <w:rFonts w:hAnsi="宋体"/>
                <w:szCs w:val="21"/>
              </w:rPr>
            </w:pPr>
            <w:r>
              <w:rPr>
                <w:rFonts w:hAnsi="宋体"/>
                <w:szCs w:val="21"/>
              </w:rPr>
              <w:t>参数</w:t>
            </w:r>
          </w:p>
        </w:tc>
        <w:tc>
          <w:tcPr>
            <w:tcW w:w="141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0AEFFBD">
            <w:pPr>
              <w:tabs>
                <w:tab w:val="left" w:pos="0"/>
              </w:tabs>
              <w:spacing w:line="460" w:lineRule="exact"/>
              <w:jc w:val="center"/>
              <w:rPr>
                <w:rFonts w:hint="eastAsia" w:hAnsi="宋体" w:eastAsia="宋体"/>
                <w:szCs w:val="21"/>
              </w:rPr>
            </w:pPr>
            <w:r>
              <w:rPr>
                <w:rFonts w:hint="eastAsia" w:hAnsi="宋体" w:eastAsia="宋体"/>
                <w:szCs w:val="21"/>
              </w:rPr>
              <w:t>含固粒</w:t>
            </w:r>
          </w:p>
        </w:tc>
        <w:tc>
          <w:tcPr>
            <w:tcW w:w="13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4D667E8">
            <w:pPr>
              <w:tabs>
                <w:tab w:val="left" w:pos="0"/>
              </w:tabs>
              <w:spacing w:line="460" w:lineRule="exact"/>
              <w:jc w:val="center"/>
              <w:rPr>
                <w:rFonts w:hAnsi="宋体"/>
                <w:szCs w:val="21"/>
              </w:rPr>
            </w:pPr>
            <w:r>
              <w:rPr>
                <w:rFonts w:hint="eastAsia" w:hAnsi="宋体"/>
                <w:szCs w:val="21"/>
              </w:rPr>
              <w:t>氯根</w:t>
            </w:r>
          </w:p>
        </w:tc>
        <w:tc>
          <w:tcPr>
            <w:tcW w:w="9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AB07BBA">
            <w:pPr>
              <w:tabs>
                <w:tab w:val="left" w:pos="0"/>
              </w:tabs>
              <w:spacing w:line="460" w:lineRule="exact"/>
              <w:jc w:val="center"/>
              <w:rPr>
                <w:rFonts w:hAnsi="宋体"/>
                <w:szCs w:val="21"/>
              </w:rPr>
            </w:pPr>
            <w:r>
              <w:rPr>
                <w:rFonts w:hAnsi="宋体"/>
                <w:szCs w:val="21"/>
              </w:rPr>
              <w:t>PH</w:t>
            </w:r>
          </w:p>
        </w:tc>
        <w:tc>
          <w:tcPr>
            <w:tcW w:w="12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ADEF7FD">
            <w:pPr>
              <w:tabs>
                <w:tab w:val="left" w:pos="0"/>
              </w:tabs>
              <w:spacing w:line="460" w:lineRule="exact"/>
              <w:jc w:val="center"/>
              <w:rPr>
                <w:rFonts w:hAnsi="宋体"/>
                <w:szCs w:val="21"/>
              </w:rPr>
            </w:pPr>
            <w:r>
              <w:rPr>
                <w:rFonts w:hAnsi="宋体"/>
                <w:szCs w:val="21"/>
              </w:rPr>
              <w:t>硬度</w:t>
            </w:r>
          </w:p>
        </w:tc>
        <w:tc>
          <w:tcPr>
            <w:tcW w:w="113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6BCCD36">
            <w:pPr>
              <w:tabs>
                <w:tab w:val="left" w:pos="0"/>
              </w:tabs>
              <w:spacing w:line="460" w:lineRule="exact"/>
              <w:jc w:val="center"/>
              <w:rPr>
                <w:rFonts w:hAnsi="宋体"/>
                <w:szCs w:val="21"/>
              </w:rPr>
            </w:pPr>
            <w:r>
              <w:rPr>
                <w:rFonts w:hAnsi="宋体"/>
                <w:szCs w:val="21"/>
              </w:rPr>
              <w:t>水温</w:t>
            </w:r>
          </w:p>
        </w:tc>
      </w:tr>
      <w:tr w14:paraId="309D5DF2">
        <w:tblPrEx>
          <w:tblCellMar>
            <w:top w:w="0" w:type="dxa"/>
            <w:left w:w="108" w:type="dxa"/>
            <w:bottom w:w="0" w:type="dxa"/>
            <w:right w:w="108" w:type="dxa"/>
          </w:tblCellMar>
        </w:tblPrEx>
        <w:trPr>
          <w:trHeight w:val="454" w:hRule="exact"/>
          <w:jc w:val="center"/>
        </w:trPr>
        <w:tc>
          <w:tcPr>
            <w:tcW w:w="134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1F434AB">
            <w:pPr>
              <w:tabs>
                <w:tab w:val="left" w:pos="0"/>
              </w:tabs>
              <w:spacing w:line="460" w:lineRule="exact"/>
              <w:jc w:val="center"/>
              <w:rPr>
                <w:rFonts w:hAnsi="宋体"/>
                <w:szCs w:val="21"/>
              </w:rPr>
            </w:pPr>
            <w:r>
              <w:rPr>
                <w:rFonts w:hAnsi="宋体"/>
                <w:szCs w:val="21"/>
              </w:rPr>
              <w:t>数值</w:t>
            </w:r>
          </w:p>
        </w:tc>
        <w:tc>
          <w:tcPr>
            <w:tcW w:w="141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515D76C">
            <w:pPr>
              <w:widowControl w:val="0"/>
              <w:wordWrap/>
              <w:jc w:val="center"/>
              <w:rPr>
                <w:rFonts w:hAnsi="宋体"/>
                <w:szCs w:val="21"/>
              </w:rPr>
            </w:pPr>
            <w:r>
              <w:rPr>
                <w:rFonts w:hint="eastAsia" w:ascii="仿宋_GB2312" w:hAnsi="仿宋_GB2312" w:eastAsia="仿宋_GB2312" w:cs="仿宋_GB2312"/>
                <w:sz w:val="24"/>
                <w:szCs w:val="24"/>
                <w:lang w:val="en-US" w:eastAsia="zh-CN"/>
              </w:rPr>
              <w:t>2-3</w:t>
            </w:r>
            <w:r>
              <w:rPr>
                <w:rFonts w:hint="eastAsia" w:ascii="仿宋_GB2312" w:hAnsi="仿宋_GB2312" w:eastAsia="仿宋_GB2312" w:cs="仿宋_GB2312"/>
                <w:sz w:val="24"/>
                <w:szCs w:val="24"/>
              </w:rPr>
              <w:t>%</w:t>
            </w:r>
          </w:p>
        </w:tc>
        <w:tc>
          <w:tcPr>
            <w:tcW w:w="13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26ABA5F">
            <w:pPr>
              <w:widowControl w:val="0"/>
              <w:wordWrap/>
              <w:jc w:val="center"/>
              <w:rPr>
                <w:rFonts w:hAnsi="宋体"/>
                <w:szCs w:val="21"/>
              </w:rPr>
            </w:pPr>
            <w:r>
              <w:rPr>
                <w:rFonts w:hint="eastAsia" w:ascii="仿宋_GB2312" w:hAnsi="仿宋_GB2312" w:eastAsia="仿宋_GB2312" w:cs="仿宋_GB2312"/>
                <w:sz w:val="24"/>
                <w:szCs w:val="24"/>
              </w:rPr>
              <w:t>60mg/L</w:t>
            </w:r>
          </w:p>
        </w:tc>
        <w:tc>
          <w:tcPr>
            <w:tcW w:w="9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F0585A9">
            <w:pPr>
              <w:widowControl w:val="0"/>
              <w:wordWrap/>
              <w:jc w:val="center"/>
              <w:rPr>
                <w:rFonts w:hint="eastAsia" w:hAnsi="宋体" w:eastAsia="宋体"/>
                <w:szCs w:val="21"/>
              </w:rPr>
            </w:pPr>
            <w:r>
              <w:rPr>
                <w:rFonts w:hint="eastAsia" w:ascii="仿宋_GB2312" w:hAnsi="仿宋_GB2312" w:eastAsia="仿宋_GB2312" w:cs="仿宋_GB2312"/>
                <w:sz w:val="24"/>
                <w:szCs w:val="24"/>
              </w:rPr>
              <w:t>7-9</w:t>
            </w:r>
          </w:p>
        </w:tc>
        <w:tc>
          <w:tcPr>
            <w:tcW w:w="12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73376BC">
            <w:pPr>
              <w:widowControl w:val="0"/>
              <w:wordWrap/>
              <w:jc w:val="center"/>
              <w:rPr>
                <w:rFonts w:hAnsi="宋体"/>
                <w:szCs w:val="21"/>
              </w:rPr>
            </w:pPr>
            <w:r>
              <w:rPr>
                <w:rFonts w:hint="eastAsia" w:ascii="仿宋_GB2312" w:hAnsi="仿宋_GB2312" w:eastAsia="仿宋_GB2312" w:cs="仿宋_GB2312"/>
                <w:sz w:val="24"/>
                <w:szCs w:val="24"/>
              </w:rPr>
              <w:t>450mg/L</w:t>
            </w:r>
          </w:p>
        </w:tc>
        <w:tc>
          <w:tcPr>
            <w:tcW w:w="113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FCF56BF">
            <w:pPr>
              <w:widowControl w:val="0"/>
              <w:wordWrap/>
              <w:jc w:val="center"/>
              <w:rPr>
                <w:rFonts w:hAnsi="宋体"/>
                <w:szCs w:val="21"/>
              </w:rPr>
            </w:pPr>
            <w:r>
              <w:rPr>
                <w:rFonts w:hint="eastAsia" w:ascii="仿宋_GB2312" w:hAnsi="仿宋_GB2312" w:eastAsia="仿宋_GB2312" w:cs="仿宋_GB2312"/>
                <w:sz w:val="24"/>
                <w:szCs w:val="24"/>
              </w:rPr>
              <w:t>5-50℃</w:t>
            </w:r>
          </w:p>
        </w:tc>
      </w:tr>
    </w:tbl>
    <w:p w14:paraId="2D0EED49">
      <w:pPr>
        <w:pStyle w:val="6"/>
        <w:ind w:left="0" w:leftChars="0"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3.材质要求</w:t>
      </w:r>
    </w:p>
    <w:p w14:paraId="0171C79B">
      <w:pPr>
        <w:pStyle w:val="6"/>
        <w:ind w:left="0" w:leftChars="0"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主要零部件材料表：</w:t>
      </w:r>
    </w:p>
    <w:tbl>
      <w:tblPr>
        <w:tblStyle w:val="7"/>
        <w:tblW w:w="7350" w:type="dxa"/>
        <w:jc w:val="center"/>
        <w:tblLayout w:type="fixed"/>
        <w:tblCellMar>
          <w:top w:w="0" w:type="dxa"/>
          <w:left w:w="0" w:type="dxa"/>
          <w:bottom w:w="0" w:type="dxa"/>
          <w:right w:w="0" w:type="dxa"/>
        </w:tblCellMar>
      </w:tblPr>
      <w:tblGrid>
        <w:gridCol w:w="3960"/>
        <w:gridCol w:w="3390"/>
      </w:tblGrid>
      <w:tr w14:paraId="3D9D4EDC">
        <w:tblPrEx>
          <w:tblCellMar>
            <w:top w:w="0" w:type="dxa"/>
            <w:left w:w="0" w:type="dxa"/>
            <w:bottom w:w="0" w:type="dxa"/>
            <w:right w:w="0" w:type="dxa"/>
          </w:tblCellMar>
        </w:tblPrEx>
        <w:trPr>
          <w:trHeight w:val="395" w:hRule="exact"/>
          <w:jc w:val="center"/>
        </w:trPr>
        <w:tc>
          <w:tcPr>
            <w:tcW w:w="396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61A20627">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零件名称</w:t>
            </w:r>
          </w:p>
        </w:tc>
        <w:tc>
          <w:tcPr>
            <w:tcW w:w="339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0AB4B8F9">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材料名称</w:t>
            </w:r>
          </w:p>
        </w:tc>
      </w:tr>
      <w:tr w14:paraId="69830A5D">
        <w:tblPrEx>
          <w:tblCellMar>
            <w:top w:w="0" w:type="dxa"/>
            <w:left w:w="0" w:type="dxa"/>
            <w:bottom w:w="0" w:type="dxa"/>
            <w:right w:w="0" w:type="dxa"/>
          </w:tblCellMar>
        </w:tblPrEx>
        <w:trPr>
          <w:trHeight w:val="395" w:hRule="exact"/>
          <w:jc w:val="center"/>
        </w:trPr>
        <w:tc>
          <w:tcPr>
            <w:tcW w:w="396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04B01DDE">
            <w:pPr>
              <w:widowControl w:val="0"/>
              <w:wordWrap/>
              <w:jc w:val="center"/>
              <w:rPr>
                <w:rFonts w:hint="eastAsia" w:ascii="仿宋_GB2312" w:hAnsi="仿宋_GB2312" w:eastAsia="仿宋_GB2312" w:cs="仿宋_GB2312"/>
                <w:sz w:val="24"/>
                <w:szCs w:val="24"/>
              </w:rPr>
            </w:pPr>
            <w:r>
              <w:rPr>
                <w:rFonts w:ascii="仿宋_GB2312" w:hAnsi="仿宋_GB2312" w:eastAsia="仿宋_GB2312" w:cs="仿宋_GB2312"/>
                <w:sz w:val="24"/>
                <w:szCs w:val="24"/>
              </w:rPr>
              <w:t>弹性联轴器部件</w:t>
            </w:r>
          </w:p>
        </w:tc>
        <w:tc>
          <w:tcPr>
            <w:tcW w:w="339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040E19B8">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304</w:t>
            </w:r>
          </w:p>
        </w:tc>
      </w:tr>
      <w:tr w14:paraId="7F2C3889">
        <w:tblPrEx>
          <w:tblCellMar>
            <w:top w:w="0" w:type="dxa"/>
            <w:left w:w="0" w:type="dxa"/>
            <w:bottom w:w="0" w:type="dxa"/>
            <w:right w:w="0" w:type="dxa"/>
          </w:tblCellMar>
        </w:tblPrEx>
        <w:trPr>
          <w:trHeight w:val="395" w:hRule="exact"/>
          <w:jc w:val="center"/>
        </w:trPr>
        <w:tc>
          <w:tcPr>
            <w:tcW w:w="396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17655EFC">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叶轮</w:t>
            </w:r>
          </w:p>
        </w:tc>
        <w:tc>
          <w:tcPr>
            <w:tcW w:w="339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038456A9">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耐磨合金不锈钢 2205</w:t>
            </w:r>
          </w:p>
        </w:tc>
      </w:tr>
      <w:tr w14:paraId="6C48F20A">
        <w:tblPrEx>
          <w:tblCellMar>
            <w:top w:w="0" w:type="dxa"/>
            <w:left w:w="0" w:type="dxa"/>
            <w:bottom w:w="0" w:type="dxa"/>
            <w:right w:w="0" w:type="dxa"/>
          </w:tblCellMar>
        </w:tblPrEx>
        <w:trPr>
          <w:trHeight w:val="395" w:hRule="exact"/>
          <w:jc w:val="center"/>
        </w:trPr>
        <w:tc>
          <w:tcPr>
            <w:tcW w:w="396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26BF9AE3">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上轴</w:t>
            </w:r>
          </w:p>
        </w:tc>
        <w:tc>
          <w:tcPr>
            <w:tcW w:w="339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1BFECE97">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2Cr13调质</w:t>
            </w:r>
          </w:p>
        </w:tc>
      </w:tr>
      <w:tr w14:paraId="7D34253B">
        <w:tblPrEx>
          <w:tblCellMar>
            <w:top w:w="0" w:type="dxa"/>
            <w:left w:w="0" w:type="dxa"/>
            <w:bottom w:w="0" w:type="dxa"/>
            <w:right w:w="0" w:type="dxa"/>
          </w:tblCellMar>
        </w:tblPrEx>
        <w:trPr>
          <w:trHeight w:val="395" w:hRule="exact"/>
          <w:jc w:val="center"/>
        </w:trPr>
        <w:tc>
          <w:tcPr>
            <w:tcW w:w="396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1F09FB26">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下轴</w:t>
            </w:r>
          </w:p>
        </w:tc>
        <w:tc>
          <w:tcPr>
            <w:tcW w:w="339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022241A8">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2Cr13调质</w:t>
            </w:r>
          </w:p>
        </w:tc>
      </w:tr>
      <w:tr w14:paraId="709ECA1E">
        <w:tblPrEx>
          <w:tblCellMar>
            <w:top w:w="0" w:type="dxa"/>
            <w:left w:w="0" w:type="dxa"/>
            <w:bottom w:w="0" w:type="dxa"/>
            <w:right w:w="0" w:type="dxa"/>
          </w:tblCellMar>
        </w:tblPrEx>
        <w:trPr>
          <w:trHeight w:val="395" w:hRule="exact"/>
          <w:jc w:val="center"/>
        </w:trPr>
        <w:tc>
          <w:tcPr>
            <w:tcW w:w="396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2114A2AD">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中轴</w:t>
            </w:r>
          </w:p>
        </w:tc>
        <w:tc>
          <w:tcPr>
            <w:tcW w:w="339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21C4644F">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2Cr13调质</w:t>
            </w:r>
          </w:p>
        </w:tc>
      </w:tr>
      <w:tr w14:paraId="46884B55">
        <w:tblPrEx>
          <w:tblCellMar>
            <w:top w:w="0" w:type="dxa"/>
            <w:left w:w="0" w:type="dxa"/>
            <w:bottom w:w="0" w:type="dxa"/>
            <w:right w:w="0" w:type="dxa"/>
          </w:tblCellMar>
        </w:tblPrEx>
        <w:trPr>
          <w:trHeight w:val="395" w:hRule="exact"/>
          <w:jc w:val="center"/>
        </w:trPr>
        <w:tc>
          <w:tcPr>
            <w:tcW w:w="396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689C6554">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轴套</w:t>
            </w:r>
          </w:p>
        </w:tc>
        <w:tc>
          <w:tcPr>
            <w:tcW w:w="339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1C73AD05">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2205</w:t>
            </w:r>
          </w:p>
        </w:tc>
      </w:tr>
      <w:tr w14:paraId="23325317">
        <w:tblPrEx>
          <w:tblCellMar>
            <w:top w:w="0" w:type="dxa"/>
            <w:left w:w="0" w:type="dxa"/>
            <w:bottom w:w="0" w:type="dxa"/>
            <w:right w:w="0" w:type="dxa"/>
          </w:tblCellMar>
        </w:tblPrEx>
        <w:trPr>
          <w:trHeight w:val="452" w:hRule="exact"/>
          <w:jc w:val="center"/>
        </w:trPr>
        <w:tc>
          <w:tcPr>
            <w:tcW w:w="396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6C45290A">
            <w:pPr>
              <w:widowControl w:val="0"/>
              <w:wordWrap/>
              <w:jc w:val="center"/>
              <w:rPr>
                <w:rFonts w:hint="eastAsia" w:ascii="仿宋_GB2312" w:hAnsi="仿宋_GB2312" w:eastAsia="仿宋_GB2312" w:cs="仿宋_GB2312"/>
                <w:sz w:val="24"/>
                <w:szCs w:val="24"/>
              </w:rPr>
            </w:pPr>
            <w:r>
              <w:rPr>
                <w:rFonts w:ascii="仿宋_GB2312" w:hAnsi="仿宋_GB2312" w:eastAsia="仿宋_GB2312" w:cs="仿宋_GB2312"/>
                <w:sz w:val="24"/>
                <w:szCs w:val="24"/>
              </w:rPr>
              <w:t>密封环</w:t>
            </w:r>
          </w:p>
        </w:tc>
        <w:tc>
          <w:tcPr>
            <w:tcW w:w="339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4B90EF3A">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2205</w:t>
            </w:r>
          </w:p>
        </w:tc>
      </w:tr>
      <w:tr w14:paraId="020C8EBA">
        <w:tblPrEx>
          <w:tblCellMar>
            <w:top w:w="0" w:type="dxa"/>
            <w:left w:w="0" w:type="dxa"/>
            <w:bottom w:w="0" w:type="dxa"/>
            <w:right w:w="0" w:type="dxa"/>
          </w:tblCellMar>
        </w:tblPrEx>
        <w:trPr>
          <w:trHeight w:val="467" w:hRule="exact"/>
          <w:jc w:val="center"/>
        </w:trPr>
        <w:tc>
          <w:tcPr>
            <w:tcW w:w="396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453B9DC5">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套筒联轴器</w:t>
            </w:r>
          </w:p>
        </w:tc>
        <w:tc>
          <w:tcPr>
            <w:tcW w:w="339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382CB730">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不锈钢304</w:t>
            </w:r>
          </w:p>
        </w:tc>
      </w:tr>
      <w:tr w14:paraId="1D7D1E2A">
        <w:tblPrEx>
          <w:tblCellMar>
            <w:top w:w="0" w:type="dxa"/>
            <w:left w:w="0" w:type="dxa"/>
            <w:bottom w:w="0" w:type="dxa"/>
            <w:right w:w="0" w:type="dxa"/>
          </w:tblCellMar>
        </w:tblPrEx>
        <w:trPr>
          <w:trHeight w:val="395" w:hRule="exact"/>
          <w:jc w:val="center"/>
        </w:trPr>
        <w:tc>
          <w:tcPr>
            <w:tcW w:w="396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6E16C5E9">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橡胶轴承</w:t>
            </w:r>
          </w:p>
        </w:tc>
        <w:tc>
          <w:tcPr>
            <w:tcW w:w="339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46CB43A1">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赛龙SXL</w:t>
            </w:r>
          </w:p>
        </w:tc>
      </w:tr>
      <w:tr w14:paraId="7561AEBD">
        <w:tblPrEx>
          <w:tblCellMar>
            <w:top w:w="0" w:type="dxa"/>
            <w:left w:w="0" w:type="dxa"/>
            <w:bottom w:w="0" w:type="dxa"/>
            <w:right w:w="0" w:type="dxa"/>
          </w:tblCellMar>
        </w:tblPrEx>
        <w:trPr>
          <w:trHeight w:val="438" w:hRule="exact"/>
          <w:jc w:val="center"/>
        </w:trPr>
        <w:tc>
          <w:tcPr>
            <w:tcW w:w="396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6F16C74C">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调心滚子轴承</w:t>
            </w:r>
          </w:p>
        </w:tc>
        <w:tc>
          <w:tcPr>
            <w:tcW w:w="339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501A803B">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SKF</w:t>
            </w:r>
          </w:p>
        </w:tc>
      </w:tr>
      <w:tr w14:paraId="69B6C3B0">
        <w:tblPrEx>
          <w:tblCellMar>
            <w:top w:w="0" w:type="dxa"/>
            <w:left w:w="0" w:type="dxa"/>
            <w:bottom w:w="0" w:type="dxa"/>
            <w:right w:w="0" w:type="dxa"/>
          </w:tblCellMar>
        </w:tblPrEx>
        <w:trPr>
          <w:trHeight w:val="438" w:hRule="exact"/>
          <w:jc w:val="center"/>
        </w:trPr>
        <w:tc>
          <w:tcPr>
            <w:tcW w:w="396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61DFF4C5">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联轴节</w:t>
            </w:r>
          </w:p>
        </w:tc>
        <w:tc>
          <w:tcPr>
            <w:tcW w:w="339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7FD2119B">
            <w:pPr>
              <w:widowControl w:val="0"/>
              <w:wordWrap/>
              <w:ind w:firstLine="960" w:firstLineChars="4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不锈钢304</w:t>
            </w:r>
          </w:p>
        </w:tc>
      </w:tr>
      <w:tr w14:paraId="3BC86D3B">
        <w:tblPrEx>
          <w:tblCellMar>
            <w:top w:w="0" w:type="dxa"/>
            <w:left w:w="0" w:type="dxa"/>
            <w:bottom w:w="0" w:type="dxa"/>
            <w:right w:w="0" w:type="dxa"/>
          </w:tblCellMar>
        </w:tblPrEx>
        <w:trPr>
          <w:trHeight w:val="438" w:hRule="exact"/>
          <w:jc w:val="center"/>
        </w:trPr>
        <w:tc>
          <w:tcPr>
            <w:tcW w:w="396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5B8B51E4">
            <w:pPr>
              <w:widowControl w:val="0"/>
              <w:wordWrap/>
              <w:ind w:firstLine="1680" w:firstLineChars="7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轴承</w:t>
            </w:r>
          </w:p>
        </w:tc>
        <w:tc>
          <w:tcPr>
            <w:tcW w:w="339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6733168B">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SKF</w:t>
            </w:r>
          </w:p>
        </w:tc>
      </w:tr>
    </w:tbl>
    <w:p w14:paraId="7E3F0568">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4.设备安装尺寸</w:t>
      </w:r>
    </w:p>
    <w:p w14:paraId="30D93BEA">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为保证设备尺寸统一性，本次采购的设备外型结构、安装尺寸、设备零部件（含易损件）尺寸必须与在线的同型号设备保证互相通用、互换。如不能满足甲方有权做退货处理。</w:t>
      </w:r>
    </w:p>
    <w:p w14:paraId="1F7A7424">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5.技术要求</w:t>
      </w:r>
    </w:p>
    <w:p w14:paraId="3B41A01F">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5.1乙方提供技术先进，结构合理、安全、成熟可靠并符合国家有关标准的产品。</w:t>
      </w:r>
    </w:p>
    <w:p w14:paraId="1E6EFEC6">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5.2考虑到泵组转子总成长期运行，乙方提供的叶轮必须为整体铸造成型（不允许采用焊接成型叶轮），泵组的寿命不低于10年，泵组连续运行。</w:t>
      </w:r>
    </w:p>
    <w:p w14:paraId="68914538">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5.3泵组转子总成安装后的振动、噪声及轴承运行温度等应符合国家标准（其中振动要求小于等于0.05mm）。</w:t>
      </w:r>
    </w:p>
    <w:p w14:paraId="325CD3AB">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5.4乙方应提供主设备外，还需提供如下易损备件（橡胶轴承1套（4件）、调心滚子轴承（</w:t>
      </w:r>
      <w:r>
        <w:rPr>
          <w:rFonts w:hint="eastAsia" w:ascii="仿宋_GB2312" w:hAnsi="仿宋_GB2312" w:eastAsia="仿宋_GB2312" w:cs="仿宋_GB2312"/>
          <w:sz w:val="30"/>
          <w:szCs w:val="30"/>
          <w:lang w:eastAsia="zh-CN"/>
        </w:rPr>
        <w:t>参照或相当于</w:t>
      </w:r>
      <w:r>
        <w:rPr>
          <w:rFonts w:hint="eastAsia" w:ascii="仿宋_GB2312" w:hAnsi="仿宋_GB2312" w:eastAsia="仿宋_GB2312" w:cs="仿宋_GB2312"/>
          <w:sz w:val="24"/>
          <w:szCs w:val="24"/>
        </w:rPr>
        <w:t>SKF</w:t>
      </w:r>
      <w:r>
        <w:rPr>
          <w:rFonts w:hint="eastAsia" w:ascii="仿宋_GB2312" w:hAnsi="仿宋_GB2312" w:eastAsia="仿宋_GB2312" w:cs="仿宋_GB2312"/>
          <w:sz w:val="30"/>
          <w:szCs w:val="30"/>
        </w:rPr>
        <w:t>）1套</w:t>
      </w:r>
      <w:r>
        <w:rPr>
          <w:rFonts w:hint="eastAsia" w:ascii="仿宋_GB2312" w:hAnsi="仿宋_GB2312" w:eastAsia="仿宋_GB2312" w:cs="仿宋_GB2312"/>
          <w:sz w:val="30"/>
          <w:szCs w:val="30"/>
          <w:lang w:val="en-US" w:eastAsia="zh-CN"/>
        </w:rPr>
        <w:t>,冷却水管1套</w:t>
      </w:r>
      <w:r>
        <w:rPr>
          <w:rFonts w:hint="eastAsia" w:ascii="仿宋_GB2312" w:hAnsi="仿宋_GB2312" w:eastAsia="仿宋_GB2312" w:cs="仿宋_GB2312"/>
          <w:sz w:val="30"/>
          <w:szCs w:val="30"/>
        </w:rPr>
        <w:t>。</w:t>
      </w:r>
    </w:p>
    <w:p w14:paraId="68EF8FB8">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w:t>
      </w: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rPr>
        <w:t>乙方应提供设备产品设计、制造、质量检验、交货及验收应遵照的规范和标准。</w:t>
      </w:r>
    </w:p>
    <w:p w14:paraId="2B86C0FC">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w:t>
      </w: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rPr>
        <w:t>泵乙方整体组装好发运现场，现场不再解体检修装配，乙方应随设备供货提供该设备的装配资料提供买方。</w:t>
      </w:r>
    </w:p>
    <w:p w14:paraId="194C162A">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w:t>
      </w:r>
      <w:r>
        <w:rPr>
          <w:rFonts w:hint="eastAsia" w:ascii="仿宋_GB2312" w:hAnsi="仿宋_GB2312" w:eastAsia="仿宋_GB2312" w:cs="仿宋_GB2312"/>
          <w:sz w:val="30"/>
          <w:szCs w:val="30"/>
          <w:lang w:val="en-US" w:eastAsia="zh-CN"/>
        </w:rPr>
        <w:t>7</w:t>
      </w:r>
      <w:r>
        <w:rPr>
          <w:rFonts w:hint="eastAsia" w:ascii="仿宋_GB2312" w:hAnsi="仿宋_GB2312" w:eastAsia="仿宋_GB2312" w:cs="仿宋_GB2312"/>
          <w:sz w:val="30"/>
          <w:szCs w:val="30"/>
        </w:rPr>
        <w:t>乙方提供的设计特性曲线在水泵冬夏季工况范围内的流量、扬程、效率不允许有负偏差，扬程的正偏差不超过1.5%。水泵在最低允许运行水位运行时，应保证良好的抗汽蚀性能。</w:t>
      </w:r>
    </w:p>
    <w:p w14:paraId="00ADD426">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w:t>
      </w:r>
      <w:r>
        <w:rPr>
          <w:rFonts w:hint="eastAsia" w:ascii="仿宋_GB2312" w:hAnsi="仿宋_GB2312" w:eastAsia="仿宋_GB2312" w:cs="仿宋_GB2312"/>
          <w:sz w:val="30"/>
          <w:szCs w:val="30"/>
          <w:lang w:val="en-US" w:eastAsia="zh-CN"/>
        </w:rPr>
        <w:t>8</w:t>
      </w:r>
      <w:r>
        <w:rPr>
          <w:rFonts w:hint="eastAsia" w:ascii="仿宋_GB2312" w:hAnsi="仿宋_GB2312" w:eastAsia="仿宋_GB2312" w:cs="仿宋_GB2312"/>
          <w:sz w:val="30"/>
          <w:szCs w:val="30"/>
        </w:rPr>
        <w:t>水泵的流量扬程曲线必须平稳地从系统所需的最大流量工况上升到关闭点。</w:t>
      </w:r>
    </w:p>
    <w:p w14:paraId="646BA04C">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w:t>
      </w: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附带安装说明、装箱单、实验报告、产品使用说明书、产品合格证。</w:t>
      </w:r>
    </w:p>
    <w:p w14:paraId="6ACAEBB7">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5.1</w:t>
      </w:r>
      <w:r>
        <w:rPr>
          <w:rFonts w:hint="eastAsia" w:ascii="仿宋_GB2312" w:hAnsi="仿宋_GB2312" w:eastAsia="仿宋_GB2312" w:cs="仿宋_GB2312"/>
          <w:sz w:val="30"/>
          <w:szCs w:val="30"/>
          <w:lang w:val="en-US" w:eastAsia="zh-CN"/>
        </w:rPr>
        <w:t>0</w:t>
      </w:r>
      <w:r>
        <w:rPr>
          <w:rFonts w:hint="eastAsia" w:ascii="仿宋_GB2312" w:hAnsi="仿宋_GB2312" w:eastAsia="仿宋_GB2312" w:cs="仿宋_GB2312"/>
          <w:sz w:val="30"/>
          <w:szCs w:val="30"/>
        </w:rPr>
        <w:t>乙方提供的水泵功能完整，技术先进成熟，所供设备均按最新标准设计和制造，在系统正常合理工况下能满足安全和持续运行的要求。</w:t>
      </w:r>
    </w:p>
    <w:p w14:paraId="038D3E45">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5.1</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转子总成零部件均采用先进、可靠的加工制造技术，并具有良好的表面几何形状及合适的公差配合。</w:t>
      </w:r>
    </w:p>
    <w:p w14:paraId="361101D0">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5.1</w:t>
      </w: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转子总成及其主要旋转部件都须进行静、动平衡试验，偏差重量＜5g。</w:t>
      </w:r>
    </w:p>
    <w:p w14:paraId="67F17790">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5.1</w:t>
      </w: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安装参数在协议签订后由供货厂家在现场进行测量。</w:t>
      </w:r>
    </w:p>
    <w:p w14:paraId="71AA9351">
      <w:pPr>
        <w:pStyle w:val="6"/>
        <w:ind w:left="0" w:leftChars="0"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5.1</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该设备与原电机的底座尺寸（子口台尺寸、法兰眼距尺寸）、水泵底座尺寸（地脚眼距、出口管中心高度）需要乙方到现场实地测量设备安装尺寸和安装方式并确保提供设备与甲方现场设备尺寸和安装方式一致，并安装后满足原泵运行参数。</w:t>
      </w:r>
      <w:r>
        <w:rPr>
          <w:rFonts w:hint="eastAsia" w:ascii="仿宋_GB2312" w:hAnsi="仿宋_GB2312" w:eastAsia="仿宋_GB2312" w:cs="仿宋_GB2312"/>
          <w:color w:val="000000" w:themeColor="text1"/>
          <w:sz w:val="30"/>
          <w:szCs w:val="30"/>
          <w14:textFill>
            <w14:solidFill>
              <w14:schemeClr w14:val="tx1"/>
            </w14:solidFill>
          </w14:textFill>
        </w:rPr>
        <w:t>该泵吸水管长度</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9.5</w:t>
      </w:r>
      <w:r>
        <w:rPr>
          <w:rFonts w:hint="eastAsia" w:ascii="仿宋_GB2312" w:hAnsi="仿宋_GB2312" w:eastAsia="仿宋_GB2312" w:cs="仿宋_GB2312"/>
          <w:color w:val="000000" w:themeColor="text1"/>
          <w:sz w:val="30"/>
          <w:szCs w:val="30"/>
          <w14:textFill>
            <w14:solidFill>
              <w14:schemeClr w14:val="tx1"/>
            </w14:solidFill>
          </w14:textFill>
        </w:rPr>
        <w:t>米，壁厚≥10mm带不锈钢滤网，管道外壁做防腐。出水管配套法兰及密封紧固件。配套相对应尺寸的泵、电联轴器及柱销销螺栓、弹性胶圈。</w:t>
      </w:r>
    </w:p>
    <w:p w14:paraId="107CB8C8">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5.1</w:t>
      </w: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rPr>
        <w:t> 联轴器、轴等转动部位必须安装易于拆卸的防护罩，防护罩与电机及水泵轴承体之间的距离不大于10mm，防护罩与联轴器水平位置增加观察窗并增加观察网（孔径不大于10mm），观察窗应能够正常打开但不能拆卸。防护罩底色为为红色、旋转方向为黄色，水泵统一着色为蓝色。</w:t>
      </w:r>
    </w:p>
    <w:p w14:paraId="27765AE5">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5.1</w:t>
      </w: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rPr>
        <w:t>水泵橡胶轴承内置或外置冷却水方式必须标记清楚，并要附带所有安装附件；轴承室轴承必须标记添加润滑油脂牌号和润滑方式，必须预留日常在线加注油油杯或外置加油管；若需要外置冷却水必须标准清楚和具体的使用说明。</w:t>
      </w:r>
    </w:p>
    <w:p w14:paraId="4736E21C">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w:t>
      </w:r>
      <w:r>
        <w:rPr>
          <w:rFonts w:hint="eastAsia" w:ascii="仿宋_GB2312" w:hAnsi="仿宋_GB2312" w:eastAsia="仿宋_GB2312" w:cs="仿宋_GB2312"/>
          <w:sz w:val="30"/>
          <w:szCs w:val="30"/>
          <w:lang w:val="en-US" w:eastAsia="zh-CN"/>
        </w:rPr>
        <w:t>17</w:t>
      </w:r>
      <w:r>
        <w:rPr>
          <w:rFonts w:hint="eastAsia" w:ascii="仿宋_GB2312" w:hAnsi="仿宋_GB2312" w:eastAsia="仿宋_GB2312" w:cs="仿宋_GB2312"/>
          <w:sz w:val="30"/>
          <w:szCs w:val="30"/>
        </w:rPr>
        <w:t>水泵必须保证设备零部件和原型机零部件互换互用原则，如不能满足甲方有权做退货处理。</w:t>
      </w:r>
    </w:p>
    <w:p w14:paraId="37D7B6EA">
      <w:pPr>
        <w:pStyle w:val="6"/>
        <w:ind w:left="0" w:leftChars="0" w:firstLine="602" w:firstLineChars="200"/>
        <w:rPr>
          <w:rFonts w:hint="eastAsia" w:ascii="仿宋_GB2312" w:hAnsi="仿宋_GB2312" w:eastAsia="仿宋_GB2312" w:cs="仿宋_GB2312"/>
          <w:b/>
          <w:bCs/>
          <w:sz w:val="30"/>
          <w:szCs w:val="30"/>
          <w:lang w:eastAsia="zh-CN"/>
        </w:rPr>
      </w:pPr>
      <w:r>
        <w:rPr>
          <w:rFonts w:hint="eastAsia" w:ascii="仿宋_GB2312" w:hAnsi="仿宋_GB2312" w:eastAsia="仿宋_GB2312" w:cs="仿宋_GB2312"/>
          <w:b/>
          <w:bCs/>
          <w:sz w:val="30"/>
          <w:szCs w:val="30"/>
        </w:rPr>
        <w:t>推荐厂家：</w:t>
      </w:r>
      <w:r>
        <w:rPr>
          <w:rFonts w:hint="eastAsia" w:ascii="仿宋_GB2312" w:hAnsi="仿宋_GB2312" w:eastAsia="仿宋_GB2312" w:cs="仿宋_GB2312"/>
          <w:b/>
          <w:bCs/>
          <w:sz w:val="30"/>
          <w:szCs w:val="30"/>
          <w:lang w:eastAsia="zh-CN"/>
        </w:rPr>
        <w:t>参照或相当于原备件（设备）生产厂家为：成都西南泵业</w:t>
      </w:r>
      <w:r>
        <w:rPr>
          <w:rFonts w:hint="eastAsia" w:ascii="仿宋_GB2312" w:hAnsi="仿宋_GB2312" w:eastAsia="仿宋_GB2312" w:cs="仿宋_GB2312"/>
          <w:b/>
          <w:bCs/>
          <w:sz w:val="30"/>
          <w:szCs w:val="30"/>
        </w:rPr>
        <w:t>有限公司</w:t>
      </w:r>
      <w:r>
        <w:rPr>
          <w:rFonts w:hint="eastAsia" w:ascii="仿宋_GB2312" w:hAnsi="仿宋_GB2312" w:eastAsia="仿宋_GB2312" w:cs="仿宋_GB2312"/>
          <w:b/>
          <w:bCs/>
          <w:sz w:val="30"/>
          <w:szCs w:val="30"/>
          <w:lang w:eastAsia="zh-CN"/>
        </w:rPr>
        <w:t>，采购品牌应不低于同行业等级。</w:t>
      </w:r>
      <w:bookmarkStart w:id="0" w:name="_GoBack"/>
      <w:bookmarkEnd w:id="0"/>
    </w:p>
    <w:p w14:paraId="39D7E9F1">
      <w:pPr>
        <w:widowControl w:val="0"/>
        <w:numPr>
          <w:ilvl w:val="0"/>
          <w:numId w:val="1"/>
        </w:numPr>
        <w:wordWrap/>
        <w:ind w:firstLine="602" w:firstLineChars="200"/>
        <w:rPr>
          <w:lang w:val="en-GB"/>
        </w:rPr>
      </w:pPr>
      <w:r>
        <w:rPr>
          <w:rFonts w:hint="eastAsia" w:ascii="仿宋_GB2312" w:hAnsi="仿宋_GB2312" w:eastAsia="仿宋_GB2312" w:cs="仿宋_GB2312"/>
          <w:b/>
          <w:bCs/>
          <w:kern w:val="2"/>
          <w:sz w:val="30"/>
          <w:szCs w:val="30"/>
          <w:lang w:val="en-GB"/>
        </w:rPr>
        <w:t>验收及技术服务</w:t>
      </w:r>
    </w:p>
    <w:tbl>
      <w:tblPr>
        <w:tblStyle w:val="7"/>
        <w:tblW w:w="9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3"/>
        <w:gridCol w:w="6396"/>
      </w:tblGrid>
      <w:tr w14:paraId="2A705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3083" w:type="dxa"/>
            <w:vAlign w:val="center"/>
          </w:tcPr>
          <w:p w14:paraId="1F4C4C59">
            <w:pPr>
              <w:adjustRightInd w:val="0"/>
              <w:snapToGrid w:val="0"/>
              <w:spacing w:line="48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JB/T 3216-2019</w:t>
            </w:r>
          </w:p>
        </w:tc>
        <w:tc>
          <w:tcPr>
            <w:tcW w:w="6396" w:type="dxa"/>
            <w:vAlign w:val="center"/>
          </w:tcPr>
          <w:p w14:paraId="4DB2A487">
            <w:pPr>
              <w:adjustRightInd w:val="0"/>
              <w:snapToGrid w:val="0"/>
              <w:spacing w:line="48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水泵通用技术条件</w:t>
            </w:r>
          </w:p>
        </w:tc>
      </w:tr>
      <w:tr w14:paraId="23265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3083" w:type="dxa"/>
            <w:vAlign w:val="center"/>
          </w:tcPr>
          <w:p w14:paraId="72AE1E18">
            <w:pPr>
              <w:adjustRightInd w:val="0"/>
              <w:snapToGrid w:val="0"/>
              <w:spacing w:line="48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GB/T 3216-2015</w:t>
            </w:r>
          </w:p>
        </w:tc>
        <w:tc>
          <w:tcPr>
            <w:tcW w:w="6396" w:type="dxa"/>
            <w:vAlign w:val="center"/>
          </w:tcPr>
          <w:p w14:paraId="0BB1FAA5">
            <w:pPr>
              <w:adjustRightInd w:val="0"/>
              <w:snapToGrid w:val="0"/>
              <w:spacing w:line="48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泵类术语</w:t>
            </w:r>
          </w:p>
        </w:tc>
      </w:tr>
      <w:tr w14:paraId="48326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jc w:val="center"/>
        </w:trPr>
        <w:tc>
          <w:tcPr>
            <w:tcW w:w="3083" w:type="dxa"/>
            <w:vAlign w:val="center"/>
          </w:tcPr>
          <w:p w14:paraId="6C54D143">
            <w:pPr>
              <w:adjustRightInd w:val="0"/>
              <w:snapToGrid w:val="0"/>
              <w:spacing w:line="48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GB/T 5656-2013</w:t>
            </w:r>
          </w:p>
        </w:tc>
        <w:tc>
          <w:tcPr>
            <w:tcW w:w="6396" w:type="dxa"/>
            <w:vAlign w:val="center"/>
          </w:tcPr>
          <w:p w14:paraId="7895F4F0">
            <w:pPr>
              <w:adjustRightInd w:val="0"/>
              <w:snapToGrid w:val="0"/>
              <w:spacing w:line="48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工业用离心泵性能测试</w:t>
            </w:r>
          </w:p>
        </w:tc>
      </w:tr>
      <w:tr w14:paraId="1A596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083" w:type="dxa"/>
            <w:vAlign w:val="center"/>
          </w:tcPr>
          <w:p w14:paraId="78F5C42C">
            <w:pPr>
              <w:adjustRightInd w:val="0"/>
              <w:snapToGrid w:val="0"/>
              <w:spacing w:line="48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GB/T 13469-1992</w:t>
            </w:r>
          </w:p>
        </w:tc>
        <w:tc>
          <w:tcPr>
            <w:tcW w:w="6396" w:type="dxa"/>
            <w:vAlign w:val="center"/>
          </w:tcPr>
          <w:p w14:paraId="0D393FEE">
            <w:pPr>
              <w:adjustRightInd w:val="0"/>
              <w:snapToGrid w:val="0"/>
              <w:spacing w:line="48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工业用离心泵、混流泵、轴流泵和旋涡泵经济运行标准</w:t>
            </w:r>
          </w:p>
        </w:tc>
      </w:tr>
      <w:tr w14:paraId="677C5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083" w:type="dxa"/>
            <w:vAlign w:val="center"/>
          </w:tcPr>
          <w:p w14:paraId="3CA40C69">
            <w:pPr>
              <w:adjustRightInd w:val="0"/>
              <w:snapToGrid w:val="0"/>
              <w:spacing w:line="48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JB/T 133-2019</w:t>
            </w:r>
          </w:p>
        </w:tc>
        <w:tc>
          <w:tcPr>
            <w:tcW w:w="6396" w:type="dxa"/>
            <w:vAlign w:val="center"/>
          </w:tcPr>
          <w:p w14:paraId="013BFA35">
            <w:pPr>
              <w:adjustRightInd w:val="0"/>
              <w:snapToGrid w:val="0"/>
              <w:spacing w:line="48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水泵机械运行性能试验</w:t>
            </w:r>
          </w:p>
        </w:tc>
      </w:tr>
      <w:tr w14:paraId="23FBE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3083" w:type="dxa"/>
            <w:vAlign w:val="center"/>
          </w:tcPr>
          <w:p w14:paraId="63830F24">
            <w:pPr>
              <w:adjustRightInd w:val="0"/>
              <w:snapToGrid w:val="0"/>
              <w:spacing w:line="48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GB/T 1306</w:t>
            </w:r>
          </w:p>
        </w:tc>
        <w:tc>
          <w:tcPr>
            <w:tcW w:w="6396" w:type="dxa"/>
            <w:vAlign w:val="center"/>
          </w:tcPr>
          <w:p w14:paraId="42A99F5D">
            <w:pPr>
              <w:adjustRightInd w:val="0"/>
              <w:snapToGrid w:val="0"/>
              <w:spacing w:line="48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离心泵、混流泵、轴流泵汽蚀余量  </w:t>
            </w:r>
          </w:p>
        </w:tc>
      </w:tr>
      <w:tr w14:paraId="70DD3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3083" w:type="dxa"/>
            <w:vAlign w:val="center"/>
          </w:tcPr>
          <w:p w14:paraId="783A1866">
            <w:pPr>
              <w:adjustRightInd w:val="0"/>
              <w:snapToGrid w:val="0"/>
              <w:spacing w:line="48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GB/T 8097-95</w:t>
            </w:r>
          </w:p>
        </w:tc>
        <w:tc>
          <w:tcPr>
            <w:tcW w:w="6396" w:type="dxa"/>
            <w:vAlign w:val="center"/>
          </w:tcPr>
          <w:p w14:paraId="01495194">
            <w:pPr>
              <w:adjustRightInd w:val="0"/>
              <w:snapToGrid w:val="0"/>
              <w:spacing w:line="48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泵的振动测量与评价方法</w:t>
            </w:r>
          </w:p>
        </w:tc>
      </w:tr>
      <w:tr w14:paraId="4283A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3083" w:type="dxa"/>
            <w:vAlign w:val="center"/>
          </w:tcPr>
          <w:p w14:paraId="7C729CF1">
            <w:pPr>
              <w:adjustRightInd w:val="0"/>
              <w:snapToGrid w:val="0"/>
              <w:spacing w:line="48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GB/T 8098-95</w:t>
            </w:r>
          </w:p>
        </w:tc>
        <w:tc>
          <w:tcPr>
            <w:tcW w:w="6396" w:type="dxa"/>
            <w:vAlign w:val="center"/>
          </w:tcPr>
          <w:p w14:paraId="4C07C08C">
            <w:pPr>
              <w:adjustRightInd w:val="0"/>
              <w:snapToGrid w:val="0"/>
              <w:spacing w:line="48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泵的噪声测量与评价方法</w:t>
            </w:r>
          </w:p>
        </w:tc>
      </w:tr>
      <w:tr w14:paraId="1372A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3083" w:type="dxa"/>
            <w:vAlign w:val="center"/>
          </w:tcPr>
          <w:p w14:paraId="3F953815">
            <w:pPr>
              <w:adjustRightInd w:val="0"/>
              <w:snapToGrid w:val="0"/>
              <w:spacing w:line="48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GB/T 19765-2005 </w:t>
            </w:r>
          </w:p>
        </w:tc>
        <w:tc>
          <w:tcPr>
            <w:tcW w:w="6396" w:type="dxa"/>
            <w:vAlign w:val="center"/>
          </w:tcPr>
          <w:p w14:paraId="66BA0A94">
            <w:pPr>
              <w:adjustRightInd w:val="0"/>
              <w:snapToGrid w:val="0"/>
              <w:spacing w:line="48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节能型离心泵能效限定值及能效等级</w:t>
            </w:r>
          </w:p>
        </w:tc>
      </w:tr>
      <w:tr w14:paraId="19119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3083" w:type="dxa"/>
            <w:vAlign w:val="center"/>
          </w:tcPr>
          <w:p w14:paraId="1BD9336C">
            <w:pPr>
              <w:adjustRightInd w:val="0"/>
              <w:snapToGrid w:val="0"/>
              <w:spacing w:line="48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GB/T 9239-88</w:t>
            </w:r>
          </w:p>
        </w:tc>
        <w:tc>
          <w:tcPr>
            <w:tcW w:w="6396" w:type="dxa"/>
          </w:tcPr>
          <w:p w14:paraId="76BF7215">
            <w:pPr>
              <w:adjustRightInd w:val="0"/>
              <w:snapToGrid w:val="0"/>
              <w:spacing w:line="48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刚性转子平衡品质许用不平衡的确定</w:t>
            </w:r>
          </w:p>
        </w:tc>
      </w:tr>
    </w:tbl>
    <w:p w14:paraId="3537354C">
      <w:pPr>
        <w:ind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sz w:val="30"/>
          <w:szCs w:val="30"/>
        </w:rPr>
        <w:t>1.泵和铸造件质量符合JB/TQ367-84《泵用铸造件技术条件》中的规定，同时不影响力学性能的铸造缺陷，铸件表面应光滑并清理干净。</w:t>
      </w:r>
    </w:p>
    <w:p w14:paraId="68F0FDC3">
      <w:pPr>
        <w:widowControl w:val="0"/>
        <w:wordWrap/>
        <w:ind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2.所有设备均按国家标准的规定进行组装。</w:t>
      </w:r>
    </w:p>
    <w:p w14:paraId="748D8E8A">
      <w:pPr>
        <w:widowControl w:val="0"/>
        <w:wordWrap/>
        <w:ind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3.所提供的备件在现场进行验收，如存在质量问题，乙方无条件负责免费更换。</w:t>
      </w:r>
    </w:p>
    <w:p w14:paraId="40BA9E83">
      <w:pPr>
        <w:widowControl w:val="0"/>
        <w:wordWrap/>
        <w:ind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4.乙方对整个设备的合理性、完整性负责，负责设备本体的全部设计，包含提供与设备配套的土建基础、电气、设备连接方式的最终资料。</w:t>
      </w:r>
    </w:p>
    <w:p w14:paraId="097CD540">
      <w:pPr>
        <w:widowControl w:val="0"/>
        <w:wordWrap/>
        <w:ind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5.所有用于设备制造的材料及制作工艺均应符合相关行业标准，完成全部技术参数的设计要求。甲方有权对设备制造全过程进行监督和不定期检查，期间对乙方提出异议，设备制造厂应及时响应和采取适当措施积极解决。</w:t>
      </w:r>
    </w:p>
    <w:p w14:paraId="5B821496">
      <w:pPr>
        <w:widowControl w:val="0"/>
        <w:wordWrap/>
        <w:ind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6.设备到货后由乙方组织甲方相关人员对设备进行开箱验收，随机设备及附件数量种类必须符合本协议中设施供货范围要求。</w:t>
      </w:r>
    </w:p>
    <w:p w14:paraId="1F1FB608">
      <w:pPr>
        <w:widowControl w:val="0"/>
        <w:wordWrap/>
        <w:ind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7.设备外观及数量验收合格后对由乙方组织甲方相关人员对设备内部进行解体检查验收，重点对设备的材质、制造精度、装配精度按照本协议制造要求进行测试验收，若存在于国家、行业标准和本协议要求不符合项目，甲方有权拒绝设备的调试和功能考核并要求对设备直接进行退货，并按照商务合同的有关条款对乙方进行罚款或索赔。</w:t>
      </w:r>
    </w:p>
    <w:p w14:paraId="35B43247">
      <w:pPr>
        <w:widowControl w:val="0"/>
        <w:wordWrap/>
        <w:ind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8.出现设备质量问题、到货及安装拖期问题，按照合同违约条款执行。</w:t>
      </w:r>
    </w:p>
    <w:p w14:paraId="34114BC1">
      <w:pPr>
        <w:widowControl w:val="0"/>
        <w:wordWrap/>
        <w:ind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9.如运行过程中出现问题，经第三方检定为不符合相关技术要求，按照合同违约条款执行。</w:t>
      </w:r>
    </w:p>
    <w:p w14:paraId="54F573E2">
      <w:pPr>
        <w:widowControl w:val="0"/>
        <w:wordWrap/>
        <w:ind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10.乙方负责派有经验的技术人员进行安装指导，同时对甲方操作维护人员进行的技术培训，培训资料由乙方提供。对水泵的启停操作、运行检查、点检维护检修须出具书面材料进行培训。</w:t>
      </w:r>
    </w:p>
    <w:p w14:paraId="694C3E43">
      <w:pPr>
        <w:widowControl w:val="0"/>
        <w:wordWrap/>
        <w:ind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11.产品质保期为12个月，从设备功能考核合格之日算起，质保期内的产品质量问题，乙方免费维修、更换,由于乙方供货设备的质量问题而造成的故障或设备停运，乙方应免费负责尽快更换有缺陷或损坏的部件，设备的质保期将延长，延长时间为设备重新恢复后12个月。</w:t>
      </w:r>
    </w:p>
    <w:p w14:paraId="34C77870">
      <w:pPr>
        <w:widowControl w:val="0"/>
        <w:wordWrap/>
        <w:ind w:firstLine="602" w:firstLineChars="200"/>
        <w:rPr>
          <w:rFonts w:hint="eastAsia" w:ascii="仿宋_GB2312" w:hAnsi="仿宋_GB2312" w:eastAsia="仿宋_GB2312" w:cs="仿宋_GB2312"/>
          <w:b/>
          <w:bCs/>
          <w:kern w:val="2"/>
          <w:sz w:val="30"/>
          <w:szCs w:val="30"/>
        </w:rPr>
      </w:pPr>
      <w:r>
        <w:rPr>
          <w:rFonts w:hint="eastAsia" w:ascii="仿宋_GB2312" w:hAnsi="仿宋_GB2312" w:eastAsia="仿宋_GB2312" w:cs="仿宋_GB2312"/>
          <w:b/>
          <w:bCs/>
          <w:kern w:val="2"/>
          <w:sz w:val="30"/>
          <w:szCs w:val="30"/>
        </w:rPr>
        <w:t>五、提供资料</w:t>
      </w:r>
    </w:p>
    <w:p w14:paraId="0A24E42E">
      <w:pPr>
        <w:widowControl w:val="0"/>
        <w:wordWrap/>
        <w:ind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1.乙方在中标后向甲方提以下资料：</w:t>
      </w:r>
    </w:p>
    <w:p w14:paraId="0ED9135C">
      <w:pPr>
        <w:widowControl w:val="0"/>
        <w:wordWrap/>
        <w:ind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2.乙方在中标后7天内将准确的电子版如下资料提供给甲方，中标后 20天内将准确的纸质版如下资料提供给甲方：</w:t>
      </w:r>
    </w:p>
    <w:p w14:paraId="585346E3">
      <w:pPr>
        <w:widowControl w:val="0"/>
        <w:wordWrap/>
        <w:ind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2.1 外购件明细表</w:t>
      </w:r>
    </w:p>
    <w:p w14:paraId="1E9CFEA9">
      <w:pPr>
        <w:widowControl w:val="0"/>
        <w:wordWrap/>
        <w:ind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2.2 设备使用说明书</w:t>
      </w:r>
    </w:p>
    <w:p w14:paraId="443D2208">
      <w:pPr>
        <w:widowControl w:val="0"/>
        <w:wordWrap/>
        <w:ind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2.3提供出厂最终资料</w:t>
      </w:r>
    </w:p>
    <w:p w14:paraId="3BB575DB">
      <w:pPr>
        <w:widowControl w:val="0"/>
        <w:wordWrap/>
        <w:ind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3.邮寄地址</w:t>
      </w:r>
    </w:p>
    <w:p w14:paraId="3AB9B6CA">
      <w:pPr>
        <w:widowControl w:val="0"/>
        <w:wordWrap/>
        <w:ind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甲方邮寄信息：甘肃省嘉峪关市酒钢集团动力厂</w:t>
      </w:r>
    </w:p>
    <w:p w14:paraId="5F144461">
      <w:pPr>
        <w:widowControl w:val="0"/>
        <w:wordWrap/>
        <w:ind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邮政编码：735100</w:t>
      </w:r>
    </w:p>
    <w:p w14:paraId="0299410A">
      <w:pPr>
        <w:widowControl w:val="0"/>
        <w:wordWrap/>
        <w:ind w:firstLine="600" w:firstLineChars="200"/>
        <w:rPr>
          <w:rFonts w:hint="eastAsia" w:ascii="仿宋_GB2312" w:hAnsi="仿宋_GB2312" w:eastAsia="仿宋_GB2312" w:cs="仿宋_GB2312"/>
          <w:kern w:val="2"/>
          <w:sz w:val="30"/>
          <w:szCs w:val="30"/>
          <w:lang w:eastAsia="zh-CN"/>
        </w:rPr>
      </w:pPr>
      <w:r>
        <w:rPr>
          <w:rFonts w:hint="eastAsia" w:ascii="仿宋_GB2312" w:hAnsi="仿宋_GB2312" w:eastAsia="仿宋_GB2312" w:cs="仿宋_GB2312"/>
          <w:kern w:val="2"/>
          <w:sz w:val="30"/>
          <w:szCs w:val="30"/>
        </w:rPr>
        <w:t>收件人：</w:t>
      </w:r>
      <w:r>
        <w:rPr>
          <w:rFonts w:hint="eastAsia" w:ascii="仿宋_GB2312" w:hAnsi="仿宋_GB2312" w:eastAsia="仿宋_GB2312" w:cs="仿宋_GB2312"/>
          <w:kern w:val="2"/>
          <w:sz w:val="30"/>
          <w:szCs w:val="30"/>
          <w:lang w:eastAsia="zh-CN"/>
        </w:rPr>
        <w:t>曹吉文</w:t>
      </w:r>
    </w:p>
    <w:p w14:paraId="7FDBA25B">
      <w:pPr>
        <w:widowControl w:val="0"/>
        <w:wordWrap/>
        <w:ind w:firstLine="600" w:firstLineChars="200"/>
        <w:rPr>
          <w:rFonts w:hint="default" w:ascii="仿宋_GB2312" w:hAnsi="仿宋_GB2312" w:eastAsia="仿宋_GB2312" w:cs="仿宋_GB2312"/>
          <w:kern w:val="2"/>
          <w:sz w:val="30"/>
          <w:szCs w:val="30"/>
          <w:lang w:val="en-US" w:eastAsia="zh-CN"/>
        </w:rPr>
      </w:pPr>
      <w:r>
        <w:rPr>
          <w:rFonts w:hint="eastAsia" w:ascii="仿宋_GB2312" w:hAnsi="仿宋_GB2312" w:eastAsia="仿宋_GB2312" w:cs="仿宋_GB2312"/>
          <w:kern w:val="2"/>
          <w:sz w:val="30"/>
          <w:szCs w:val="30"/>
        </w:rPr>
        <w:t>联系电话：</w:t>
      </w:r>
      <w:r>
        <w:rPr>
          <w:rFonts w:hint="eastAsia" w:ascii="仿宋_GB2312" w:hAnsi="仿宋_GB2312" w:eastAsia="仿宋_GB2312" w:cs="仿宋_GB2312"/>
          <w:kern w:val="2"/>
          <w:sz w:val="30"/>
          <w:szCs w:val="30"/>
          <w:lang w:val="en-US" w:eastAsia="zh-CN"/>
        </w:rPr>
        <w:t>17793730243</w:t>
      </w:r>
    </w:p>
    <w:p w14:paraId="20941F5F">
      <w:pPr>
        <w:widowControl w:val="0"/>
        <w:wordWrap/>
        <w:ind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电子邮箱：</w:t>
      </w:r>
    </w:p>
    <w:p w14:paraId="2C6CA8CA">
      <w:pPr>
        <w:widowControl w:val="0"/>
        <w:wordWrap/>
        <w:ind w:firstLine="602" w:firstLineChars="200"/>
        <w:rPr>
          <w:rFonts w:hint="eastAsia" w:ascii="仿宋_GB2312" w:hAnsi="仿宋_GB2312" w:eastAsia="仿宋_GB2312" w:cs="仿宋_GB2312"/>
          <w:b/>
          <w:bCs/>
          <w:kern w:val="2"/>
          <w:sz w:val="30"/>
          <w:szCs w:val="30"/>
        </w:rPr>
      </w:pPr>
      <w:r>
        <w:rPr>
          <w:rFonts w:hint="eastAsia" w:ascii="仿宋_GB2312" w:hAnsi="仿宋_GB2312" w:eastAsia="仿宋_GB2312" w:cs="仿宋_GB2312"/>
          <w:b/>
          <w:bCs/>
          <w:kern w:val="2"/>
          <w:sz w:val="30"/>
          <w:szCs w:val="30"/>
        </w:rPr>
        <w:t>六、交货时间及地点</w:t>
      </w:r>
    </w:p>
    <w:p w14:paraId="2A88D0F0">
      <w:pPr>
        <w:widowControl w:val="0"/>
        <w:wordWrap/>
        <w:ind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中标后必须在60个工作日内完成供货</w:t>
      </w:r>
    </w:p>
    <w:p w14:paraId="692794FC">
      <w:pPr>
        <w:widowControl w:val="0"/>
        <w:wordWrap/>
        <w:ind w:firstLine="602" w:firstLineChars="200"/>
        <w:rPr>
          <w:rFonts w:hint="eastAsia" w:ascii="仿宋_GB2312" w:hAnsi="仿宋_GB2312" w:eastAsia="仿宋_GB2312" w:cs="仿宋_GB2312"/>
          <w:b/>
          <w:bCs/>
          <w:kern w:val="2"/>
          <w:sz w:val="30"/>
          <w:szCs w:val="30"/>
        </w:rPr>
      </w:pPr>
      <w:r>
        <w:rPr>
          <w:rFonts w:hint="eastAsia" w:ascii="仿宋_GB2312" w:hAnsi="仿宋_GB2312" w:eastAsia="仿宋_GB2312" w:cs="仿宋_GB2312"/>
          <w:b/>
          <w:bCs/>
          <w:kern w:val="2"/>
          <w:sz w:val="30"/>
          <w:szCs w:val="30"/>
        </w:rPr>
        <w:t>七、其它</w:t>
      </w:r>
    </w:p>
    <w:p w14:paraId="17D95B41">
      <w:pPr>
        <w:wordWrap/>
        <w:spacing w:before="10" w:after="10" w:line="360" w:lineRule="auto"/>
        <w:ind w:firstLine="560" w:firstLineChars="200"/>
        <w:jc w:val="left"/>
        <w:rPr>
          <w:rFonts w:hint="eastAsia" w:ascii="仿宋" w:hAnsi="仿宋" w:eastAsia="仿宋" w:cs="仿宋"/>
          <w:kern w:val="2"/>
          <w:sz w:val="28"/>
          <w:szCs w:val="28"/>
        </w:rPr>
      </w:pPr>
      <w:r>
        <w:rPr>
          <w:rFonts w:hint="eastAsia" w:ascii="仿宋" w:hAnsi="仿宋" w:eastAsia="仿宋" w:cs="仿宋"/>
          <w:kern w:val="2"/>
          <w:sz w:val="28"/>
          <w:szCs w:val="28"/>
        </w:rPr>
        <w:t>1.本规格书内容经由甲乙双方于</w:t>
      </w:r>
      <w:r>
        <w:rPr>
          <w:rFonts w:hint="eastAsia" w:ascii="仿宋" w:hAnsi="仿宋" w:eastAsia="仿宋" w:cs="仿宋"/>
          <w:kern w:val="2"/>
          <w:sz w:val="28"/>
          <w:szCs w:val="28"/>
          <w:u w:val="single"/>
        </w:rPr>
        <w:t xml:space="preserve">       </w:t>
      </w:r>
      <w:r>
        <w:rPr>
          <w:rFonts w:hint="eastAsia" w:ascii="仿宋" w:hAnsi="仿宋" w:eastAsia="仿宋" w:cs="仿宋"/>
          <w:kern w:val="2"/>
          <w:sz w:val="28"/>
          <w:szCs w:val="28"/>
        </w:rPr>
        <w:t>年</w:t>
      </w:r>
      <w:r>
        <w:rPr>
          <w:rFonts w:hint="eastAsia" w:ascii="仿宋" w:hAnsi="仿宋" w:eastAsia="仿宋" w:cs="仿宋"/>
          <w:kern w:val="2"/>
          <w:sz w:val="28"/>
          <w:szCs w:val="28"/>
          <w:u w:val="single"/>
        </w:rPr>
        <w:t xml:space="preserve">    </w:t>
      </w:r>
      <w:r>
        <w:rPr>
          <w:rFonts w:hint="eastAsia" w:ascii="仿宋" w:hAnsi="仿宋" w:eastAsia="仿宋" w:cs="仿宋"/>
          <w:kern w:val="2"/>
          <w:sz w:val="28"/>
          <w:szCs w:val="28"/>
        </w:rPr>
        <w:t> 月</w:t>
      </w:r>
      <w:r>
        <w:rPr>
          <w:rFonts w:hint="eastAsia" w:ascii="仿宋" w:hAnsi="仿宋" w:eastAsia="仿宋" w:cs="仿宋"/>
          <w:kern w:val="2"/>
          <w:sz w:val="28"/>
          <w:szCs w:val="28"/>
          <w:u w:val="single"/>
        </w:rPr>
        <w:t xml:space="preserve">     </w:t>
      </w:r>
      <w:r>
        <w:rPr>
          <w:rFonts w:hint="eastAsia" w:ascii="仿宋" w:hAnsi="仿宋" w:eastAsia="仿宋" w:cs="仿宋"/>
          <w:kern w:val="2"/>
          <w:sz w:val="28"/>
          <w:szCs w:val="28"/>
        </w:rPr>
        <w:t>日</w:t>
      </w:r>
      <w:r>
        <w:rPr>
          <w:rFonts w:hint="eastAsia" w:ascii="仿宋" w:hAnsi="仿宋" w:eastAsia="仿宋" w:cs="仿宋"/>
          <w:kern w:val="2"/>
          <w:sz w:val="28"/>
          <w:szCs w:val="28"/>
          <w:u w:val="single"/>
        </w:rPr>
        <w:t xml:space="preserve">     </w:t>
      </w:r>
      <w:r>
        <w:rPr>
          <w:rFonts w:hint="eastAsia" w:ascii="仿宋" w:hAnsi="仿宋" w:eastAsia="仿宋" w:cs="仿宋"/>
          <w:kern w:val="2"/>
          <w:sz w:val="28"/>
          <w:szCs w:val="28"/>
        </w:rPr>
        <w:t>时至</w:t>
      </w:r>
      <w:r>
        <w:rPr>
          <w:rFonts w:hint="eastAsia" w:ascii="仿宋" w:hAnsi="仿宋" w:eastAsia="仿宋" w:cs="仿宋"/>
          <w:kern w:val="2"/>
          <w:sz w:val="28"/>
          <w:szCs w:val="28"/>
          <w:u w:val="single"/>
        </w:rPr>
        <w:t xml:space="preserve">        </w:t>
      </w:r>
      <w:r>
        <w:rPr>
          <w:rFonts w:hint="eastAsia" w:ascii="仿宋" w:hAnsi="仿宋" w:eastAsia="仿宋" w:cs="仿宋"/>
          <w:kern w:val="2"/>
          <w:sz w:val="28"/>
          <w:szCs w:val="28"/>
        </w:rPr>
        <w:t>时通过</w:t>
      </w:r>
      <w:r>
        <w:rPr>
          <w:rFonts w:hint="eastAsia" w:ascii="仿宋" w:hAnsi="仿宋" w:eastAsia="仿宋" w:cs="仿宋"/>
          <w:kern w:val="2"/>
          <w:sz w:val="28"/>
          <w:szCs w:val="28"/>
          <w:u w:val="single"/>
        </w:rPr>
        <w:t>                              </w:t>
      </w:r>
      <w:r>
        <w:rPr>
          <w:rFonts w:hint="eastAsia" w:ascii="仿宋" w:hAnsi="仿宋" w:eastAsia="仿宋" w:cs="仿宋"/>
          <w:kern w:val="2"/>
          <w:sz w:val="28"/>
          <w:szCs w:val="28"/>
        </w:rPr>
        <w:t>方式商定。</w:t>
      </w:r>
    </w:p>
    <w:p w14:paraId="78AE8D4B">
      <w:pPr>
        <w:widowControl w:val="0"/>
        <w:wordWrap/>
        <w:ind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2甲乙双方应当就签订本规格书的相关事宜保密，不得将签订主体、时间、内容等信息透露给其他第三人。</w:t>
      </w:r>
    </w:p>
    <w:p w14:paraId="1D4244F5">
      <w:pPr>
        <w:wordWrap/>
        <w:spacing w:before="10" w:after="10" w:line="360" w:lineRule="auto"/>
        <w:ind w:firstLine="560" w:firstLineChars="200"/>
        <w:jc w:val="left"/>
        <w:rPr>
          <w:rFonts w:hint="eastAsia" w:ascii="仿宋" w:hAnsi="仿宋" w:eastAsia="仿宋" w:cs="仿宋"/>
          <w:kern w:val="2"/>
          <w:sz w:val="28"/>
          <w:szCs w:val="28"/>
        </w:rPr>
      </w:pPr>
      <w:r>
        <w:rPr>
          <w:rFonts w:hint="eastAsia" w:ascii="仿宋" w:hAnsi="仿宋" w:eastAsia="仿宋" w:cs="仿宋"/>
          <w:kern w:val="2"/>
          <w:sz w:val="28"/>
          <w:szCs w:val="28"/>
        </w:rPr>
        <w:t>3 若 </w:t>
      </w:r>
      <w:r>
        <w:rPr>
          <w:rFonts w:hint="eastAsia" w:ascii="仿宋" w:hAnsi="仿宋" w:eastAsia="仿宋" w:cs="仿宋"/>
          <w:kern w:val="2"/>
          <w:sz w:val="28"/>
          <w:szCs w:val="28"/>
          <w:u w:val="single"/>
        </w:rPr>
        <w:t xml:space="preserve">                     </w:t>
      </w:r>
      <w:r>
        <w:rPr>
          <w:rFonts w:hint="eastAsia" w:ascii="仿宋" w:hAnsi="仿宋" w:eastAsia="仿宋" w:cs="仿宋"/>
          <w:kern w:val="2"/>
          <w:sz w:val="28"/>
          <w:szCs w:val="28"/>
        </w:rPr>
        <w:t>  单位不中标，本技术规格书自动失效，双方互不承担任何责任。</w:t>
      </w:r>
    </w:p>
    <w:p w14:paraId="34152246">
      <w:pPr>
        <w:pStyle w:val="6"/>
        <w:wordWrap/>
        <w:spacing w:before="10" w:after="10" w:line="360" w:lineRule="auto"/>
        <w:ind w:left="0" w:leftChars="0" w:firstLine="560" w:firstLineChars="200"/>
        <w:rPr>
          <w:rFonts w:hint="eastAsia" w:ascii="仿宋_GB2312" w:hAnsi="仿宋_GB2312" w:eastAsia="仿宋_GB2312" w:cs="仿宋_GB2312"/>
          <w:b/>
          <w:bCs/>
          <w:color w:val="FF0000"/>
          <w:kern w:val="2"/>
          <w:szCs w:val="28"/>
        </w:rPr>
      </w:pPr>
      <w:r>
        <w:rPr>
          <w:rFonts w:hint="eastAsia" w:ascii="仿宋" w:hAnsi="仿宋" w:eastAsia="仿宋" w:cs="仿宋"/>
          <w:kern w:val="2"/>
          <w:szCs w:val="28"/>
        </w:rPr>
        <w:t>4本协议一式四份，甲方三份，乙方一份其他未尽事宜，双方友好协商。</w:t>
      </w:r>
    </w:p>
    <w:p w14:paraId="69059E4F">
      <w:pPr>
        <w:widowControl w:val="0"/>
        <w:wordWrap/>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甲方：（行政公章）         乙方：（合同专用章）</w:t>
      </w:r>
    </w:p>
    <w:p w14:paraId="6637D70E">
      <w:pPr>
        <w:widowControl w:val="0"/>
        <w:wordWrap/>
        <w:ind w:firstLine="560" w:firstLineChars="200"/>
        <w:rPr>
          <w:rFonts w:hint="eastAsia" w:ascii="仿宋_GB2312" w:hAnsi="仿宋_GB2312" w:eastAsia="仿宋_GB2312" w:cs="仿宋_GB2312"/>
          <w:sz w:val="28"/>
          <w:szCs w:val="28"/>
        </w:rPr>
      </w:pPr>
    </w:p>
    <w:p w14:paraId="1C7AEE08">
      <w:pPr>
        <w:widowControl w:val="0"/>
        <w:wordWrap/>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甲方代表：                乙方代表：</w:t>
      </w:r>
    </w:p>
    <w:p w14:paraId="420764AE">
      <w:pPr>
        <w:widowControl w:val="0"/>
        <w:wordWrap/>
        <w:ind w:firstLine="840" w:firstLineChars="300"/>
        <w:rPr>
          <w:rFonts w:hint="eastAsia" w:ascii="仿宋_GB2312" w:hAnsi="仿宋_GB2312" w:eastAsia="仿宋_GB2312" w:cs="仿宋_GB2312"/>
          <w:sz w:val="28"/>
          <w:szCs w:val="28"/>
        </w:rPr>
      </w:pPr>
    </w:p>
    <w:p w14:paraId="2EEBC0B8">
      <w:pPr>
        <w:widowControl w:val="0"/>
        <w:wordWrap/>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年   月  日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88D72B"/>
    <w:multiLevelType w:val="singleLevel"/>
    <w:tmpl w:val="0B88D72B"/>
    <w:lvl w:ilvl="0" w:tentative="0">
      <w:start w:val="4"/>
      <w:numFmt w:val="chineseCounting"/>
      <w:suff w:val="nothing"/>
      <w:lvlText w:val="%1、"/>
      <w:lvlJc w:val="left"/>
      <w:rPr>
        <w:rFonts w:hint="eastAsia"/>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NlNWE0MDM2Njk0ODQ5YzJjMzljNzA0YzNmN2QzNjEifQ=="/>
  </w:docVars>
  <w:rsids>
    <w:rsidRoot w:val="594B5862"/>
    <w:rsid w:val="000F5645"/>
    <w:rsid w:val="00142547"/>
    <w:rsid w:val="00183C7C"/>
    <w:rsid w:val="001D4206"/>
    <w:rsid w:val="002017F4"/>
    <w:rsid w:val="002C761D"/>
    <w:rsid w:val="002D3D47"/>
    <w:rsid w:val="004603F6"/>
    <w:rsid w:val="00504113"/>
    <w:rsid w:val="005125FB"/>
    <w:rsid w:val="005550F3"/>
    <w:rsid w:val="00576C82"/>
    <w:rsid w:val="005B1296"/>
    <w:rsid w:val="005D1195"/>
    <w:rsid w:val="00603C95"/>
    <w:rsid w:val="006B3FF0"/>
    <w:rsid w:val="00723EE3"/>
    <w:rsid w:val="00B35276"/>
    <w:rsid w:val="00CB0459"/>
    <w:rsid w:val="00D545B1"/>
    <w:rsid w:val="00D85C6F"/>
    <w:rsid w:val="00E572E8"/>
    <w:rsid w:val="0200793B"/>
    <w:rsid w:val="034A70C0"/>
    <w:rsid w:val="03E034D9"/>
    <w:rsid w:val="0410030A"/>
    <w:rsid w:val="04153AA4"/>
    <w:rsid w:val="065F10D4"/>
    <w:rsid w:val="068723D9"/>
    <w:rsid w:val="072357CC"/>
    <w:rsid w:val="07F8291C"/>
    <w:rsid w:val="081C2053"/>
    <w:rsid w:val="08297BEC"/>
    <w:rsid w:val="084731CB"/>
    <w:rsid w:val="089D343C"/>
    <w:rsid w:val="08F16230"/>
    <w:rsid w:val="0955092D"/>
    <w:rsid w:val="095C7B4D"/>
    <w:rsid w:val="09D76CD8"/>
    <w:rsid w:val="0A6631B9"/>
    <w:rsid w:val="0A6842D0"/>
    <w:rsid w:val="0BFA53FB"/>
    <w:rsid w:val="0C8A6C4D"/>
    <w:rsid w:val="0D1150F2"/>
    <w:rsid w:val="0EDF6902"/>
    <w:rsid w:val="0F317386"/>
    <w:rsid w:val="0F362BEE"/>
    <w:rsid w:val="0F7B6853"/>
    <w:rsid w:val="0F856DAB"/>
    <w:rsid w:val="0F8C280E"/>
    <w:rsid w:val="0FAE4E7B"/>
    <w:rsid w:val="10D17073"/>
    <w:rsid w:val="143248CB"/>
    <w:rsid w:val="14780E1C"/>
    <w:rsid w:val="153D23A8"/>
    <w:rsid w:val="15CE1DD3"/>
    <w:rsid w:val="168227FD"/>
    <w:rsid w:val="16AE750E"/>
    <w:rsid w:val="16CD5BE6"/>
    <w:rsid w:val="16D57191"/>
    <w:rsid w:val="16F21AF1"/>
    <w:rsid w:val="17AC00A5"/>
    <w:rsid w:val="17E80AF4"/>
    <w:rsid w:val="18B90B18"/>
    <w:rsid w:val="19A436D1"/>
    <w:rsid w:val="1C694603"/>
    <w:rsid w:val="1D317F50"/>
    <w:rsid w:val="1D32587D"/>
    <w:rsid w:val="1D666D95"/>
    <w:rsid w:val="1DB31368"/>
    <w:rsid w:val="1EBA2EF4"/>
    <w:rsid w:val="1F3438A4"/>
    <w:rsid w:val="1F5A2621"/>
    <w:rsid w:val="1FCB2EDF"/>
    <w:rsid w:val="1FCD30FB"/>
    <w:rsid w:val="20280331"/>
    <w:rsid w:val="20DD111C"/>
    <w:rsid w:val="2129610F"/>
    <w:rsid w:val="21AB746C"/>
    <w:rsid w:val="23111551"/>
    <w:rsid w:val="23616034"/>
    <w:rsid w:val="23757D31"/>
    <w:rsid w:val="246F652F"/>
    <w:rsid w:val="25072C0B"/>
    <w:rsid w:val="253B310D"/>
    <w:rsid w:val="26357304"/>
    <w:rsid w:val="26D63BF7"/>
    <w:rsid w:val="272A498F"/>
    <w:rsid w:val="277A0C04"/>
    <w:rsid w:val="28043432"/>
    <w:rsid w:val="28FF2559"/>
    <w:rsid w:val="294F4B81"/>
    <w:rsid w:val="29DB6414"/>
    <w:rsid w:val="2A3224D8"/>
    <w:rsid w:val="2A3971ED"/>
    <w:rsid w:val="2A424D20"/>
    <w:rsid w:val="2AAB2C02"/>
    <w:rsid w:val="2AC1385C"/>
    <w:rsid w:val="2AD3798F"/>
    <w:rsid w:val="2B0105A2"/>
    <w:rsid w:val="2BB72AE9"/>
    <w:rsid w:val="2C3F0EDD"/>
    <w:rsid w:val="2D067C4C"/>
    <w:rsid w:val="2DA27975"/>
    <w:rsid w:val="2DCF66CE"/>
    <w:rsid w:val="2E046471"/>
    <w:rsid w:val="2E344345"/>
    <w:rsid w:val="2F0E4B96"/>
    <w:rsid w:val="30354AD0"/>
    <w:rsid w:val="316136A3"/>
    <w:rsid w:val="31BD2FCF"/>
    <w:rsid w:val="31E16592"/>
    <w:rsid w:val="32454D73"/>
    <w:rsid w:val="32D2384F"/>
    <w:rsid w:val="338673F1"/>
    <w:rsid w:val="344602EA"/>
    <w:rsid w:val="344D518E"/>
    <w:rsid w:val="34931DC5"/>
    <w:rsid w:val="35005C79"/>
    <w:rsid w:val="359A53D6"/>
    <w:rsid w:val="36603F29"/>
    <w:rsid w:val="367479D5"/>
    <w:rsid w:val="36796B6F"/>
    <w:rsid w:val="36A24330"/>
    <w:rsid w:val="372F60EF"/>
    <w:rsid w:val="3778362F"/>
    <w:rsid w:val="379272F0"/>
    <w:rsid w:val="390C0398"/>
    <w:rsid w:val="39627FB8"/>
    <w:rsid w:val="39736669"/>
    <w:rsid w:val="398D7CEC"/>
    <w:rsid w:val="3A2D05C6"/>
    <w:rsid w:val="3A2F07E2"/>
    <w:rsid w:val="3A417382"/>
    <w:rsid w:val="3A7A7584"/>
    <w:rsid w:val="3B491430"/>
    <w:rsid w:val="3C1063F2"/>
    <w:rsid w:val="3CB03CBC"/>
    <w:rsid w:val="3DD527CB"/>
    <w:rsid w:val="3EC55271"/>
    <w:rsid w:val="3F83115D"/>
    <w:rsid w:val="3F853255"/>
    <w:rsid w:val="3F8A2017"/>
    <w:rsid w:val="3FDB6D16"/>
    <w:rsid w:val="3FFB2F15"/>
    <w:rsid w:val="40B25CC9"/>
    <w:rsid w:val="41546D80"/>
    <w:rsid w:val="41BE244C"/>
    <w:rsid w:val="42B15200"/>
    <w:rsid w:val="435B61A4"/>
    <w:rsid w:val="44855FA1"/>
    <w:rsid w:val="448E6105"/>
    <w:rsid w:val="44C304A5"/>
    <w:rsid w:val="44C5403A"/>
    <w:rsid w:val="45F7340C"/>
    <w:rsid w:val="462211FB"/>
    <w:rsid w:val="46BC053D"/>
    <w:rsid w:val="46C72DC3"/>
    <w:rsid w:val="47335B2B"/>
    <w:rsid w:val="48080625"/>
    <w:rsid w:val="480F57AF"/>
    <w:rsid w:val="4826293D"/>
    <w:rsid w:val="492359B6"/>
    <w:rsid w:val="498D72D3"/>
    <w:rsid w:val="49F17548"/>
    <w:rsid w:val="4ACF2E09"/>
    <w:rsid w:val="4B3317B5"/>
    <w:rsid w:val="4BF929FE"/>
    <w:rsid w:val="4DD059E1"/>
    <w:rsid w:val="4E0F3D0B"/>
    <w:rsid w:val="4E37780E"/>
    <w:rsid w:val="4E630603"/>
    <w:rsid w:val="4F781E8C"/>
    <w:rsid w:val="4FB44719"/>
    <w:rsid w:val="5100482F"/>
    <w:rsid w:val="51856AE2"/>
    <w:rsid w:val="521B768B"/>
    <w:rsid w:val="530E3233"/>
    <w:rsid w:val="53D8114B"/>
    <w:rsid w:val="545571E3"/>
    <w:rsid w:val="54631283"/>
    <w:rsid w:val="568D446F"/>
    <w:rsid w:val="573F6AED"/>
    <w:rsid w:val="57E82F40"/>
    <w:rsid w:val="58415427"/>
    <w:rsid w:val="58900246"/>
    <w:rsid w:val="594B5862"/>
    <w:rsid w:val="5A0507C0"/>
    <w:rsid w:val="5A785436"/>
    <w:rsid w:val="5D1256CE"/>
    <w:rsid w:val="5D747B33"/>
    <w:rsid w:val="5D7E0FB5"/>
    <w:rsid w:val="5DCB1D21"/>
    <w:rsid w:val="5DD76491"/>
    <w:rsid w:val="5DEE35FE"/>
    <w:rsid w:val="5E3302C0"/>
    <w:rsid w:val="5E693A13"/>
    <w:rsid w:val="5EB84053"/>
    <w:rsid w:val="5EC549C2"/>
    <w:rsid w:val="5EC96260"/>
    <w:rsid w:val="5F64277B"/>
    <w:rsid w:val="5F7C1524"/>
    <w:rsid w:val="5FC92290"/>
    <w:rsid w:val="5FED2422"/>
    <w:rsid w:val="60200102"/>
    <w:rsid w:val="604D4C6F"/>
    <w:rsid w:val="606F2E37"/>
    <w:rsid w:val="60A454C8"/>
    <w:rsid w:val="60DD2DDA"/>
    <w:rsid w:val="60E70C20"/>
    <w:rsid w:val="61DB4C28"/>
    <w:rsid w:val="623C4F9B"/>
    <w:rsid w:val="62A66F0F"/>
    <w:rsid w:val="62C70D09"/>
    <w:rsid w:val="633E1DC8"/>
    <w:rsid w:val="638E1826"/>
    <w:rsid w:val="63C33CCC"/>
    <w:rsid w:val="64803865"/>
    <w:rsid w:val="65A51CB8"/>
    <w:rsid w:val="66320B8F"/>
    <w:rsid w:val="6723497B"/>
    <w:rsid w:val="67C73559"/>
    <w:rsid w:val="68014E3B"/>
    <w:rsid w:val="68442DFB"/>
    <w:rsid w:val="69166F99"/>
    <w:rsid w:val="69F60125"/>
    <w:rsid w:val="6A0E1913"/>
    <w:rsid w:val="6A682DD1"/>
    <w:rsid w:val="6A892D47"/>
    <w:rsid w:val="6AED1528"/>
    <w:rsid w:val="6B0A032C"/>
    <w:rsid w:val="6B2A6889"/>
    <w:rsid w:val="6B515625"/>
    <w:rsid w:val="6B517D09"/>
    <w:rsid w:val="6BEC17E0"/>
    <w:rsid w:val="6CA9147F"/>
    <w:rsid w:val="6CC63E94"/>
    <w:rsid w:val="6D284A9A"/>
    <w:rsid w:val="6D5B7633"/>
    <w:rsid w:val="6E663ACB"/>
    <w:rsid w:val="6F1F2811"/>
    <w:rsid w:val="6F1F3C7A"/>
    <w:rsid w:val="6F8C7562"/>
    <w:rsid w:val="6F993A2D"/>
    <w:rsid w:val="6FF45107"/>
    <w:rsid w:val="70D95C27"/>
    <w:rsid w:val="70E508B8"/>
    <w:rsid w:val="7113780F"/>
    <w:rsid w:val="7240032F"/>
    <w:rsid w:val="73117D7E"/>
    <w:rsid w:val="735F6D3B"/>
    <w:rsid w:val="7395275D"/>
    <w:rsid w:val="73FE0302"/>
    <w:rsid w:val="74457CD2"/>
    <w:rsid w:val="74566390"/>
    <w:rsid w:val="74B3733F"/>
    <w:rsid w:val="75412B9C"/>
    <w:rsid w:val="75D51537"/>
    <w:rsid w:val="77202C72"/>
    <w:rsid w:val="774424D0"/>
    <w:rsid w:val="77CA50CB"/>
    <w:rsid w:val="78267E28"/>
    <w:rsid w:val="78372035"/>
    <w:rsid w:val="78805B5E"/>
    <w:rsid w:val="788613E9"/>
    <w:rsid w:val="78CA4C57"/>
    <w:rsid w:val="78F61EF0"/>
    <w:rsid w:val="790A7075"/>
    <w:rsid w:val="79132AA2"/>
    <w:rsid w:val="79252548"/>
    <w:rsid w:val="79492020"/>
    <w:rsid w:val="7ACC115A"/>
    <w:rsid w:val="7BD844D4"/>
    <w:rsid w:val="7D07647A"/>
    <w:rsid w:val="7D124E1E"/>
    <w:rsid w:val="7D893333"/>
    <w:rsid w:val="7EA07D83"/>
    <w:rsid w:val="7EBC5F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ordWrap w:val="0"/>
      <w:jc w:val="both"/>
    </w:pPr>
    <w:rPr>
      <w:rFonts w:ascii="宋体" w:hAnsi="Times New Roman" w:eastAsia="Calibri" w:cs="Times New Roman"/>
      <w:sz w:val="21"/>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ind w:firstLine="480"/>
    </w:pPr>
    <w:rPr>
      <w:sz w:val="24"/>
      <w:szCs w:val="24"/>
    </w:rPr>
  </w:style>
  <w:style w:type="paragraph" w:styleId="3">
    <w:name w:val="Plain Text"/>
    <w:basedOn w:val="1"/>
    <w:autoRedefine/>
    <w:qFormat/>
    <w:uiPriority w:val="0"/>
    <w:pPr>
      <w:widowControl w:val="0"/>
    </w:pPr>
    <w:rPr>
      <w:rFonts w:hAnsi="Courier New"/>
      <w:kern w:val="2"/>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tabs>
        <w:tab w:val="center" w:pos="4153"/>
        <w:tab w:val="right" w:pos="8306"/>
      </w:tabs>
      <w:snapToGrid w:val="0"/>
      <w:jc w:val="center"/>
    </w:pPr>
    <w:rPr>
      <w:sz w:val="18"/>
      <w:szCs w:val="18"/>
    </w:rPr>
  </w:style>
  <w:style w:type="paragraph" w:styleId="6">
    <w:name w:val="Body Text First Indent 2"/>
    <w:basedOn w:val="2"/>
    <w:autoRedefine/>
    <w:qFormat/>
    <w:uiPriority w:val="0"/>
    <w:pPr>
      <w:spacing w:after="120" w:line="560" w:lineRule="exact"/>
      <w:ind w:left="420" w:leftChars="200" w:firstLine="420"/>
    </w:pPr>
    <w:rPr>
      <w:rFonts w:hAnsi="宋体"/>
      <w:sz w:val="28"/>
      <w:szCs w:val="22"/>
    </w:rPr>
  </w:style>
  <w:style w:type="paragraph" w:customStyle="1" w:styleId="9">
    <w:name w:val="样式 样式 行距: 1.5 倍行距 + 两端对齐 Char"/>
    <w:basedOn w:val="1"/>
    <w:autoRedefine/>
    <w:qFormat/>
    <w:uiPriority w:val="99"/>
    <w:pPr>
      <w:tabs>
        <w:tab w:val="left" w:pos="720"/>
      </w:tabs>
      <w:adjustRightInd w:val="0"/>
      <w:snapToGrid w:val="0"/>
      <w:ind w:firstLine="480" w:firstLineChars="200"/>
    </w:pPr>
    <w:rPr>
      <w:rFonts w:hAnsi="宋体" w:cs="宋体"/>
    </w:rPr>
  </w:style>
  <w:style w:type="character" w:customStyle="1" w:styleId="10">
    <w:name w:val="页眉 字符"/>
    <w:basedOn w:val="8"/>
    <w:link w:val="5"/>
    <w:qFormat/>
    <w:uiPriority w:val="0"/>
    <w:rPr>
      <w:rFonts w:ascii="宋体" w:eastAsia="Calibri"/>
      <w:sz w:val="18"/>
      <w:szCs w:val="18"/>
    </w:rPr>
  </w:style>
  <w:style w:type="character" w:customStyle="1" w:styleId="11">
    <w:name w:val="页脚 字符"/>
    <w:basedOn w:val="8"/>
    <w:link w:val="4"/>
    <w:qFormat/>
    <w:uiPriority w:val="0"/>
    <w:rPr>
      <w:rFonts w:ascii="宋体" w:eastAsia="Calibri"/>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3667</Words>
  <Characters>4081</Characters>
  <Lines>189</Lines>
  <Paragraphs>193</Paragraphs>
  <TotalTime>22</TotalTime>
  <ScaleCrop>false</ScaleCrop>
  <LinksUpToDate>false</LinksUpToDate>
  <CharactersWithSpaces>4283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2022-08-24T12:51:00Z</dcterms:created>
  <dc:creator>Administrator</dc:creator>
  <cp:lastModifiedBy>00064841</cp:lastModifiedBy>
  <dcterms:modified xsi:type="dcterms:W3CDTF">2026-03-04T09:27:10Z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C064117C518B4DEE9BE8D9AAC3ACD0D5_13</vt:lpwstr>
  </property>
  <property fmtid="{D5CDD505-2E9C-101B-9397-08002B2CF9AE}" pid="4" name="KSOTemplateDocerSaveRecord">
    <vt:lpwstr>eyJoZGlkIjoiYTQ0MjM2MjJjZTA0Y2Q3NDk1MmJhNDM0MTQ4YjZlNTAiLCJ1c2VySWQiOiIxNzY0MzE3NDQwIn0=</vt:lpwstr>
  </property>
</Properties>
</file>