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91353">
      <w:pPr>
        <w:spacing w:line="360" w:lineRule="auto"/>
        <w:ind w:firstLine="883" w:firstLineChars="200"/>
        <w:jc w:val="center"/>
        <w:rPr>
          <w:rFonts w:hint="eastAsia" w:ascii="仿宋" w:hAnsi="仿宋" w:eastAsia="仿宋" w:cs="仿宋"/>
          <w:b/>
          <w:bCs w:val="0"/>
          <w:color w:val="auto"/>
          <w:sz w:val="44"/>
          <w:szCs w:val="44"/>
          <w:lang w:val="en-US" w:eastAsia="zh-CN"/>
        </w:rPr>
      </w:pPr>
      <w:r>
        <w:rPr>
          <w:rFonts w:hint="eastAsia" w:ascii="仿宋" w:hAnsi="仿宋" w:eastAsia="仿宋" w:cs="仿宋"/>
          <w:b/>
          <w:bCs w:val="0"/>
          <w:color w:val="auto"/>
          <w:sz w:val="44"/>
          <w:szCs w:val="44"/>
          <w:lang w:val="en-US" w:eastAsia="zh-CN"/>
        </w:rPr>
        <w:t>服务需求说明</w:t>
      </w:r>
    </w:p>
    <w:p w14:paraId="377B28B1">
      <w:pPr>
        <w:pStyle w:val="2"/>
        <w:rPr>
          <w:rFonts w:hint="default"/>
          <w:lang w:val="en-US" w:eastAsia="zh-CN"/>
        </w:rPr>
      </w:pPr>
    </w:p>
    <w:p w14:paraId="0EBB66D5">
      <w:pPr>
        <w:spacing w:line="360" w:lineRule="auto"/>
        <w:ind w:firstLine="643" w:firstLineChars="200"/>
        <w:rPr>
          <w:rFonts w:hint="eastAsia" w:ascii="仿宋" w:hAnsi="仿宋" w:eastAsia="仿宋" w:cs="仿宋"/>
          <w:b/>
          <w:color w:val="auto"/>
          <w:sz w:val="32"/>
          <w:szCs w:val="32"/>
          <w:lang w:eastAsia="zh-CN"/>
        </w:rPr>
      </w:pPr>
      <w:r>
        <w:rPr>
          <w:rFonts w:hint="eastAsia" w:ascii="仿宋" w:hAnsi="仿宋" w:eastAsia="仿宋" w:cs="仿宋"/>
          <w:b/>
          <w:color w:val="auto"/>
          <w:sz w:val="32"/>
          <w:szCs w:val="32"/>
        </w:rPr>
        <w:t>一、服务内容</w:t>
      </w:r>
      <w:r>
        <w:rPr>
          <w:rFonts w:hint="eastAsia" w:ascii="仿宋" w:hAnsi="仿宋" w:eastAsia="仿宋" w:cs="仿宋"/>
          <w:b/>
          <w:color w:val="auto"/>
          <w:sz w:val="32"/>
          <w:szCs w:val="32"/>
          <w:lang w:val="en-US" w:eastAsia="zh-CN"/>
        </w:rPr>
        <w:t>和</w:t>
      </w:r>
      <w:r>
        <w:rPr>
          <w:rFonts w:hint="eastAsia" w:ascii="仿宋" w:hAnsi="仿宋" w:eastAsia="仿宋" w:cs="仿宋"/>
          <w:b/>
          <w:color w:val="auto"/>
          <w:sz w:val="32"/>
          <w:szCs w:val="32"/>
        </w:rPr>
        <w:t>服务期限</w:t>
      </w:r>
      <w:bookmarkStart w:id="0" w:name="_GoBack"/>
      <w:bookmarkEnd w:id="0"/>
    </w:p>
    <w:p w14:paraId="0AFE8C60">
      <w:pPr>
        <w:pStyle w:val="14"/>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.服务内容：</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2642"/>
        <w:gridCol w:w="1136"/>
        <w:gridCol w:w="3242"/>
        <w:gridCol w:w="1586"/>
      </w:tblGrid>
      <w:tr w14:paraId="6BF7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21F19702">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服务内容</w:t>
            </w:r>
          </w:p>
        </w:tc>
        <w:tc>
          <w:tcPr>
            <w:tcW w:w="1326" w:type="pct"/>
          </w:tcPr>
          <w:p w14:paraId="53F38F78">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服务范围</w:t>
            </w:r>
          </w:p>
        </w:tc>
        <w:tc>
          <w:tcPr>
            <w:tcW w:w="570" w:type="pct"/>
          </w:tcPr>
          <w:p w14:paraId="7F1BFAF7">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频率</w:t>
            </w:r>
          </w:p>
        </w:tc>
        <w:tc>
          <w:tcPr>
            <w:tcW w:w="1627" w:type="pct"/>
          </w:tcPr>
          <w:p w14:paraId="5EDE09C8">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响应机制</w:t>
            </w:r>
          </w:p>
        </w:tc>
        <w:tc>
          <w:tcPr>
            <w:tcW w:w="796" w:type="pct"/>
          </w:tcPr>
          <w:p w14:paraId="1E2709C7">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备注</w:t>
            </w:r>
          </w:p>
        </w:tc>
      </w:tr>
      <w:tr w14:paraId="4F77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1428C816">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Bug修复</w:t>
            </w:r>
          </w:p>
        </w:tc>
        <w:tc>
          <w:tcPr>
            <w:tcW w:w="1326" w:type="pct"/>
          </w:tcPr>
          <w:p w14:paraId="1FF211FA">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标准版本功能或定制功能的bug,非平台原有正常逻辑</w:t>
            </w:r>
          </w:p>
        </w:tc>
        <w:tc>
          <w:tcPr>
            <w:tcW w:w="570" w:type="pct"/>
          </w:tcPr>
          <w:p w14:paraId="37C379E4">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不限次数</w:t>
            </w:r>
          </w:p>
        </w:tc>
        <w:tc>
          <w:tcPr>
            <w:tcW w:w="1627" w:type="pct"/>
          </w:tcPr>
          <w:p w14:paraId="6C22AE00">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参见第二部分问题服务等级指标</w:t>
            </w:r>
          </w:p>
        </w:tc>
        <w:tc>
          <w:tcPr>
            <w:tcW w:w="796" w:type="pct"/>
          </w:tcPr>
          <w:p w14:paraId="7CE59D03">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依据bug影响面不同，响应级别不同</w:t>
            </w:r>
          </w:p>
        </w:tc>
      </w:tr>
      <w:tr w14:paraId="40D0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23B269F0">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版本升级</w:t>
            </w:r>
          </w:p>
        </w:tc>
        <w:tc>
          <w:tcPr>
            <w:tcW w:w="1326" w:type="pct"/>
          </w:tcPr>
          <w:p w14:paraId="67D3CF5B">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买断版本标准功能升级。若平台含有个性化开发功能，则升级后，功能需对原二开兼容。</w:t>
            </w:r>
          </w:p>
        </w:tc>
        <w:tc>
          <w:tcPr>
            <w:tcW w:w="570" w:type="pct"/>
          </w:tcPr>
          <w:p w14:paraId="375D5248">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1次/年</w:t>
            </w:r>
          </w:p>
        </w:tc>
        <w:tc>
          <w:tcPr>
            <w:tcW w:w="1627" w:type="pct"/>
          </w:tcPr>
          <w:p w14:paraId="6AB78970">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二开功能和工作量梳理确认（1周）；</w:t>
            </w:r>
          </w:p>
          <w:p w14:paraId="7E183767">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二开功能移植（按工作量）；</w:t>
            </w:r>
          </w:p>
          <w:p w14:paraId="3824D275">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数据库升级（2工作日）；</w:t>
            </w:r>
          </w:p>
          <w:p w14:paraId="5A985BA3">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版本升级（资源迁移）部署（3工作日）；</w:t>
            </w:r>
          </w:p>
          <w:p w14:paraId="372AE41C">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升级问题跟踪处理（2周）；</w:t>
            </w:r>
          </w:p>
        </w:tc>
        <w:tc>
          <w:tcPr>
            <w:tcW w:w="796" w:type="pct"/>
          </w:tcPr>
          <w:p w14:paraId="76C9827F">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升级时间与客户约定。</w:t>
            </w:r>
          </w:p>
        </w:tc>
      </w:tr>
      <w:tr w14:paraId="2614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40E993A7">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迁移服务</w:t>
            </w:r>
          </w:p>
        </w:tc>
        <w:tc>
          <w:tcPr>
            <w:tcW w:w="1326" w:type="pct"/>
          </w:tcPr>
          <w:p w14:paraId="2D753206">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按客户要求进行平台服务器整体迁移或课程、程序、数据库迁移</w:t>
            </w:r>
          </w:p>
        </w:tc>
        <w:tc>
          <w:tcPr>
            <w:tcW w:w="570" w:type="pct"/>
          </w:tcPr>
          <w:p w14:paraId="58F97832">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1次/年</w:t>
            </w:r>
          </w:p>
        </w:tc>
        <w:tc>
          <w:tcPr>
            <w:tcW w:w="1627" w:type="pct"/>
          </w:tcPr>
          <w:p w14:paraId="02E91CF4">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迁移方案讨论（按需）；</w:t>
            </w:r>
          </w:p>
          <w:p w14:paraId="7753284E">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资源迁移和部署（1周）；</w:t>
            </w:r>
          </w:p>
          <w:p w14:paraId="4336A167">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迁移问题跟踪处理（1周）；</w:t>
            </w:r>
          </w:p>
        </w:tc>
        <w:tc>
          <w:tcPr>
            <w:tcW w:w="796" w:type="pct"/>
          </w:tcPr>
          <w:p w14:paraId="71C7B640">
            <w:pPr>
              <w:adjustRightInd w:val="0"/>
              <w:snapToGrid w:val="0"/>
              <w:spacing w:before="156" w:beforeLines="50" w:line="360" w:lineRule="auto"/>
              <w:rPr>
                <w:rFonts w:hint="eastAsia" w:ascii="仿宋_GB2312" w:hAnsi="仿宋_GB2312" w:eastAsia="仿宋_GB2312" w:cs="仿宋_GB2312"/>
                <w:sz w:val="24"/>
                <w:szCs w:val="24"/>
                <w:lang w:val="en-US" w:eastAsia="zh-CN"/>
              </w:rPr>
            </w:pPr>
          </w:p>
        </w:tc>
      </w:tr>
      <w:tr w14:paraId="3944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33E20E54">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课程安装</w:t>
            </w:r>
          </w:p>
        </w:tc>
        <w:tc>
          <w:tcPr>
            <w:tcW w:w="1326" w:type="pct"/>
          </w:tcPr>
          <w:p w14:paraId="7297D8EA">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客户选择时代光华提供的课程后，提供课程清单，进行课程数据安装</w:t>
            </w:r>
          </w:p>
        </w:tc>
        <w:tc>
          <w:tcPr>
            <w:tcW w:w="570" w:type="pct"/>
          </w:tcPr>
          <w:p w14:paraId="45476918">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1-2次/年</w:t>
            </w:r>
          </w:p>
        </w:tc>
        <w:tc>
          <w:tcPr>
            <w:tcW w:w="1627" w:type="pct"/>
          </w:tcPr>
          <w:p w14:paraId="389BA232">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前提（课程清单、课程资源）；</w:t>
            </w:r>
          </w:p>
          <w:p w14:paraId="5DAF7611">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数据库整理和课程安装（3工作日）；</w:t>
            </w:r>
          </w:p>
        </w:tc>
        <w:tc>
          <w:tcPr>
            <w:tcW w:w="796" w:type="pct"/>
          </w:tcPr>
          <w:p w14:paraId="1ADBE7B5">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课程资源需协调光华总部获取</w:t>
            </w:r>
          </w:p>
        </w:tc>
      </w:tr>
      <w:tr w14:paraId="4589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67EECA9D">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安全服务</w:t>
            </w:r>
          </w:p>
        </w:tc>
        <w:tc>
          <w:tcPr>
            <w:tcW w:w="1326" w:type="pct"/>
          </w:tcPr>
          <w:p w14:paraId="186B4BB6">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由甲方扫描或维保部门主动发现的平台漏洞</w:t>
            </w:r>
          </w:p>
        </w:tc>
        <w:tc>
          <w:tcPr>
            <w:tcW w:w="570" w:type="pct"/>
          </w:tcPr>
          <w:p w14:paraId="76939D4E">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不限次数</w:t>
            </w:r>
          </w:p>
        </w:tc>
        <w:tc>
          <w:tcPr>
            <w:tcW w:w="1627" w:type="pct"/>
          </w:tcPr>
          <w:p w14:paraId="71DFCB05">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高危：漏洞处理方案（2工作日）、漏洞处理（1周）；</w:t>
            </w:r>
          </w:p>
          <w:p w14:paraId="5FBF04B5">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中危：漏洞处理方案（5工作日）、漏洞处理（2周）；</w:t>
            </w:r>
          </w:p>
        </w:tc>
        <w:tc>
          <w:tcPr>
            <w:tcW w:w="796" w:type="pct"/>
          </w:tcPr>
          <w:p w14:paraId="0D9AF559">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高危漏洞为一级；</w:t>
            </w:r>
          </w:p>
          <w:p w14:paraId="35578A3E">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中危漏洞为二级</w:t>
            </w:r>
          </w:p>
        </w:tc>
      </w:tr>
      <w:tr w14:paraId="13AC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4EBDF0CB">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巡检服务</w:t>
            </w:r>
          </w:p>
        </w:tc>
        <w:tc>
          <w:tcPr>
            <w:tcW w:w="1326" w:type="pct"/>
          </w:tcPr>
          <w:p w14:paraId="554770E3">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平台使用服务器的cpu、内存使用情况检查、磁盘空间检查、系统日志检查、文件系统检查</w:t>
            </w:r>
          </w:p>
        </w:tc>
        <w:tc>
          <w:tcPr>
            <w:tcW w:w="570" w:type="pct"/>
          </w:tcPr>
          <w:p w14:paraId="65CC3748">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4次/年</w:t>
            </w:r>
          </w:p>
        </w:tc>
        <w:tc>
          <w:tcPr>
            <w:tcW w:w="1627" w:type="pct"/>
          </w:tcPr>
          <w:p w14:paraId="3CBC5184">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提前一周与客户协商巡检时间。</w:t>
            </w:r>
          </w:p>
        </w:tc>
        <w:tc>
          <w:tcPr>
            <w:tcW w:w="796" w:type="pct"/>
          </w:tcPr>
          <w:p w14:paraId="70BEB4D6">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客户需有远程条件；形成巡检报告</w:t>
            </w:r>
          </w:p>
        </w:tc>
      </w:tr>
      <w:tr w14:paraId="1393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2F722940">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大型活动支持</w:t>
            </w:r>
          </w:p>
        </w:tc>
        <w:tc>
          <w:tcPr>
            <w:tcW w:w="1326" w:type="pct"/>
          </w:tcPr>
          <w:p w14:paraId="5AB5CE76">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客户大型活动技术支持（非策划），包含活动前的应用实例调整方案、活动中服务器情况监控</w:t>
            </w:r>
          </w:p>
        </w:tc>
        <w:tc>
          <w:tcPr>
            <w:tcW w:w="570" w:type="pct"/>
          </w:tcPr>
          <w:p w14:paraId="6E7AE822">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2次/季度；每次不长于一周</w:t>
            </w:r>
          </w:p>
        </w:tc>
        <w:tc>
          <w:tcPr>
            <w:tcW w:w="1627" w:type="pct"/>
          </w:tcPr>
          <w:p w14:paraId="1E0E787C">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活动期间每日同步系统运行和活动执行情况。</w:t>
            </w:r>
          </w:p>
        </w:tc>
        <w:tc>
          <w:tcPr>
            <w:tcW w:w="796" w:type="pct"/>
          </w:tcPr>
          <w:p w14:paraId="01BCA982">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需提前一周以上进行活动报备；客户需有远程条件；</w:t>
            </w:r>
          </w:p>
        </w:tc>
      </w:tr>
      <w:tr w14:paraId="0C2A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0DC736E2">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技术支持服务</w:t>
            </w:r>
          </w:p>
        </w:tc>
        <w:tc>
          <w:tcPr>
            <w:tcW w:w="1326" w:type="pct"/>
          </w:tcPr>
          <w:p w14:paraId="2F01E09D">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提供平台功能技术支持（非操作）、客户新需求方案的初步梳理</w:t>
            </w:r>
          </w:p>
        </w:tc>
        <w:tc>
          <w:tcPr>
            <w:tcW w:w="570" w:type="pct"/>
          </w:tcPr>
          <w:p w14:paraId="5B4DCE6C">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不限次数</w:t>
            </w:r>
          </w:p>
        </w:tc>
        <w:tc>
          <w:tcPr>
            <w:tcW w:w="1627" w:type="pct"/>
          </w:tcPr>
          <w:p w14:paraId="578321A3">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在线支持：工作日9：00-18：00；</w:t>
            </w:r>
          </w:p>
          <w:p w14:paraId="583ECEA6">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方案支持：工作日9：00-18：00；</w:t>
            </w:r>
          </w:p>
        </w:tc>
        <w:tc>
          <w:tcPr>
            <w:tcW w:w="796" w:type="pct"/>
          </w:tcPr>
          <w:p w14:paraId="0C6B7C3D">
            <w:pPr>
              <w:adjustRightInd w:val="0"/>
              <w:snapToGrid w:val="0"/>
              <w:spacing w:before="156" w:beforeLines="50" w:line="360" w:lineRule="auto"/>
              <w:rPr>
                <w:rFonts w:hint="eastAsia" w:ascii="仿宋_GB2312" w:hAnsi="仿宋_GB2312" w:eastAsia="仿宋_GB2312" w:cs="仿宋_GB2312"/>
                <w:sz w:val="24"/>
                <w:szCs w:val="24"/>
                <w:lang w:val="en-US" w:eastAsia="zh-CN"/>
              </w:rPr>
            </w:pPr>
          </w:p>
        </w:tc>
      </w:tr>
      <w:tr w14:paraId="6171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3DA90754">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数据备份与恢复</w:t>
            </w:r>
          </w:p>
        </w:tc>
        <w:tc>
          <w:tcPr>
            <w:tcW w:w="1326" w:type="pct"/>
          </w:tcPr>
          <w:p w14:paraId="6E33F291">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恢复最新的备份数据</w:t>
            </w:r>
          </w:p>
        </w:tc>
        <w:tc>
          <w:tcPr>
            <w:tcW w:w="570" w:type="pct"/>
          </w:tcPr>
          <w:p w14:paraId="296BC773">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4次/年</w:t>
            </w:r>
          </w:p>
        </w:tc>
        <w:tc>
          <w:tcPr>
            <w:tcW w:w="1627" w:type="pct"/>
          </w:tcPr>
          <w:p w14:paraId="3F8B9FAE">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在线支持：工作日9：00-18：00；</w:t>
            </w:r>
          </w:p>
        </w:tc>
        <w:tc>
          <w:tcPr>
            <w:tcW w:w="796" w:type="pct"/>
          </w:tcPr>
          <w:p w14:paraId="4F0CA693">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默认每天进行数据库的全量备份，保留一周的备份数据；</w:t>
            </w:r>
          </w:p>
        </w:tc>
      </w:tr>
      <w:tr w14:paraId="34C2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pct"/>
          </w:tcPr>
          <w:p w14:paraId="4A5C0420">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年度运维服务报告</w:t>
            </w:r>
          </w:p>
        </w:tc>
        <w:tc>
          <w:tcPr>
            <w:tcW w:w="1326" w:type="pct"/>
          </w:tcPr>
          <w:p w14:paraId="51C855D5">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包含本运维期内每季度巡检报告、监控、活动支持、bug修复、漏洞修复、技术支持、课程安装、系统升级、数据库恢复等情况</w:t>
            </w:r>
          </w:p>
        </w:tc>
        <w:tc>
          <w:tcPr>
            <w:tcW w:w="570" w:type="pct"/>
          </w:tcPr>
          <w:p w14:paraId="3B2D3F86">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1次/年</w:t>
            </w:r>
          </w:p>
        </w:tc>
        <w:tc>
          <w:tcPr>
            <w:tcW w:w="1627" w:type="pct"/>
          </w:tcPr>
          <w:p w14:paraId="76E54504">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每个运维周期结束后一个月内提供</w:t>
            </w:r>
          </w:p>
        </w:tc>
        <w:tc>
          <w:tcPr>
            <w:tcW w:w="796" w:type="pct"/>
          </w:tcPr>
          <w:p w14:paraId="289CD65B">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运维周期以运维部门拿到的运维合同签订的运维周期为准。没有运维合同的不提供该项服务。</w:t>
            </w:r>
          </w:p>
        </w:tc>
      </w:tr>
    </w:tbl>
    <w:p w14:paraId="28CEE2BE">
      <w:pPr>
        <w:pStyle w:val="5"/>
        <w:rPr>
          <w:rFonts w:hint="eastAsia"/>
          <w:lang w:val="en-US" w:eastAsia="zh-CN"/>
        </w:rPr>
      </w:pPr>
    </w:p>
    <w:p w14:paraId="5EC68BFF">
      <w:pPr>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lang w:val="en-US" w:eastAsia="zh-CN"/>
        </w:rPr>
        <w:t>服务期限：2026年8月1日—2027年8月1日（以合同约定为准）</w:t>
      </w:r>
    </w:p>
    <w:p w14:paraId="263FDDAF">
      <w:pPr>
        <w:spacing w:line="360" w:lineRule="auto"/>
        <w:ind w:firstLine="643" w:firstLineChars="200"/>
        <w:rPr>
          <w:rFonts w:hint="eastAsia" w:ascii="仿宋" w:hAnsi="仿宋" w:eastAsia="仿宋" w:cs="仿宋"/>
          <w:color w:val="auto"/>
          <w:sz w:val="32"/>
          <w:szCs w:val="32"/>
        </w:rPr>
      </w:pPr>
      <w:r>
        <w:rPr>
          <w:rFonts w:hint="eastAsia" w:ascii="仿宋" w:hAnsi="仿宋" w:eastAsia="仿宋" w:cs="仿宋"/>
          <w:b/>
          <w:color w:val="auto"/>
          <w:sz w:val="32"/>
          <w:szCs w:val="32"/>
        </w:rPr>
        <w:t xml:space="preserve">二、服务方式、质量要求及服务验收            </w:t>
      </w:r>
    </w:p>
    <w:p w14:paraId="7A6DE312">
      <w:pPr>
        <w:spacing w:line="360" w:lineRule="auto"/>
        <w:ind w:firstLine="321" w:firstLineChars="100"/>
        <w:rPr>
          <w:rFonts w:hint="eastAsia" w:ascii="仿宋" w:hAnsi="仿宋" w:eastAsia="仿宋" w:cs="仿宋"/>
          <w:b/>
          <w:bCs/>
          <w:color w:val="auto"/>
          <w:sz w:val="32"/>
          <w:szCs w:val="32"/>
        </w:rPr>
      </w:pPr>
      <w:r>
        <w:rPr>
          <w:rFonts w:hint="eastAsia" w:ascii="仿宋" w:hAnsi="仿宋" w:eastAsia="仿宋" w:cs="仿宋"/>
          <w:b/>
          <w:bCs/>
          <w:color w:val="auto"/>
          <w:sz w:val="32"/>
          <w:szCs w:val="32"/>
        </w:rPr>
        <w:t>（一）服务方式：</w:t>
      </w:r>
    </w:p>
    <w:p w14:paraId="124ADFF2">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1.乙方提供</w:t>
      </w:r>
      <w:r>
        <w:rPr>
          <w:rFonts w:hint="eastAsia" w:ascii="仿宋" w:hAnsi="仿宋" w:eastAsia="仿宋" w:cs="仿宋"/>
          <w:color w:val="auto"/>
          <w:sz w:val="32"/>
          <w:szCs w:val="32"/>
          <w:u w:val="single"/>
          <w:lang w:val="en-US" w:eastAsia="zh-CN"/>
        </w:rPr>
        <w:t>现场或远程</w:t>
      </w:r>
      <w:r>
        <w:rPr>
          <w:rFonts w:hint="eastAsia" w:ascii="仿宋" w:hAnsi="仿宋" w:eastAsia="仿宋" w:cs="仿宋"/>
          <w:color w:val="auto"/>
          <w:sz w:val="32"/>
          <w:szCs w:val="32"/>
          <w:u w:val="none"/>
          <w:lang w:val="en-US" w:eastAsia="zh-CN"/>
        </w:rPr>
        <w:t>支持</w:t>
      </w:r>
      <w:r>
        <w:rPr>
          <w:rFonts w:hint="eastAsia" w:ascii="仿宋" w:hAnsi="仿宋" w:eastAsia="仿宋" w:cs="仿宋"/>
          <w:color w:val="auto"/>
          <w:sz w:val="32"/>
          <w:szCs w:val="32"/>
        </w:rPr>
        <w:t xml:space="preserve">服务：乙方对甲方提供 </w:t>
      </w:r>
      <w:r>
        <w:rPr>
          <w:rFonts w:hint="eastAsia" w:ascii="仿宋" w:hAnsi="仿宋" w:eastAsia="仿宋" w:cs="仿宋"/>
          <w:color w:val="auto"/>
          <w:sz w:val="32"/>
          <w:szCs w:val="32"/>
          <w:u w:val="single"/>
          <w:lang w:val="en-US" w:eastAsia="zh-CN"/>
        </w:rPr>
        <w:t>24</w:t>
      </w:r>
      <w:r>
        <w:rPr>
          <w:rFonts w:hint="eastAsia" w:ascii="仿宋" w:hAnsi="仿宋" w:eastAsia="仿宋" w:cs="仿宋"/>
          <w:color w:val="auto"/>
          <w:sz w:val="32"/>
          <w:szCs w:val="32"/>
        </w:rPr>
        <w:t>小时/天，</w:t>
      </w:r>
      <w:r>
        <w:rPr>
          <w:rFonts w:hint="eastAsia" w:ascii="仿宋" w:hAnsi="仿宋" w:eastAsia="仿宋" w:cs="仿宋"/>
          <w:color w:val="auto"/>
          <w:sz w:val="32"/>
          <w:szCs w:val="32"/>
          <w:u w:val="single"/>
          <w:lang w:val="en-US" w:eastAsia="zh-CN"/>
        </w:rPr>
        <w:t xml:space="preserve">  _7</w:t>
      </w:r>
      <w:r>
        <w:rPr>
          <w:rFonts w:hint="eastAsia" w:ascii="仿宋" w:hAnsi="仿宋" w:eastAsia="仿宋" w:cs="仿宋"/>
          <w:color w:val="auto"/>
          <w:sz w:val="32"/>
          <w:szCs w:val="32"/>
        </w:rPr>
        <w:t>天/周的支持服务。</w:t>
      </w:r>
    </w:p>
    <w:p w14:paraId="5D1B867B">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（1）电话技术支持。对甲方提出的属于用户操作使用问题，乙方将通过电话进行指导。</w:t>
      </w:r>
    </w:p>
    <w:p w14:paraId="526480E0">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（2）远程登录技术支持。对于不能通过电话指导解决的问题乙方应根据甲方及用户的要求提供远程登录技术支持，包括远程的技术维护、远程技术调试以及技术升级。</w:t>
      </w:r>
    </w:p>
    <w:p w14:paraId="27A3F24B">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2.对上述方法不能解决的问题，乙方技术人员提供甲方指定现场或用户现场技术支持。</w:t>
      </w:r>
    </w:p>
    <w:p w14:paraId="0D6F0FA4">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3.对于由于乙方原因造成的重大技术问题及严重程序错误，不能通过远程方式解决的，乙方将派遣技术支持工程师在</w:t>
      </w:r>
      <w:r>
        <w:rPr>
          <w:rFonts w:hint="eastAsia" w:ascii="仿宋" w:hAnsi="仿宋" w:eastAsia="仿宋" w:cs="仿宋"/>
          <w:color w:val="auto"/>
          <w:sz w:val="32"/>
          <w:szCs w:val="32"/>
          <w:u w:val="single"/>
          <w:lang w:val="en-US" w:eastAsia="zh-CN"/>
        </w:rPr>
        <w:t>1</w:t>
      </w:r>
      <w:r>
        <w:rPr>
          <w:rFonts w:hint="eastAsia" w:ascii="仿宋" w:hAnsi="仿宋" w:eastAsia="仿宋" w:cs="仿宋"/>
          <w:color w:val="auto"/>
          <w:sz w:val="32"/>
          <w:szCs w:val="32"/>
        </w:rPr>
        <w:t>小时内赶到用户现场予以调试解决。</w:t>
      </w:r>
    </w:p>
    <w:p w14:paraId="2669691B">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4.乙方在技术支持服务时不设置技术障碍，并有义务向甲方快递乙方为甲方所提供产品的最新技术资料。</w:t>
      </w:r>
    </w:p>
    <w:p w14:paraId="0F5343F2">
      <w:pPr>
        <w:spacing w:line="360" w:lineRule="auto"/>
        <w:ind w:firstLine="640" w:firstLineChars="200"/>
        <w:rPr>
          <w:rFonts w:hint="eastAsia"/>
          <w:color w:val="auto"/>
        </w:rPr>
      </w:pPr>
      <w:r>
        <w:rPr>
          <w:rFonts w:hint="eastAsia" w:ascii="仿宋" w:hAnsi="仿宋" w:eastAsia="仿宋" w:cs="仿宋"/>
          <w:color w:val="auto"/>
          <w:sz w:val="32"/>
          <w:szCs w:val="32"/>
        </w:rPr>
        <w:t>5.在服务期中，依双方协商，乙方远程无法处理的问题，乙方必须到甲方现场服务。</w:t>
      </w:r>
    </w:p>
    <w:p w14:paraId="7384F2E3">
      <w:pPr>
        <w:spacing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（二）质量要求：</w:t>
      </w:r>
    </w:p>
    <w:p w14:paraId="2A05AAA3">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1.对于可能存在的潜在程序错误，提供终身免费修改升级服务。</w:t>
      </w:r>
    </w:p>
    <w:p w14:paraId="0F5114B2">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2.由于乙方提供系统本身产生的BUG修正、由甲乙双方协商一致同意的系统原有功能模块完善、优化及其它维护服务和技术支持。</w:t>
      </w:r>
    </w:p>
    <w:p w14:paraId="5388615D">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3.系统维护应满足甲方的使用要求，出现紧急问题或一般问题快速响应并积极、快速的解决问题，不影响系统正常运行，响应时间在30 分钟以内，并达到100%的响应。</w:t>
      </w:r>
    </w:p>
    <w:p w14:paraId="690AB94E">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4.问题服务等级指标</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7"/>
        <w:gridCol w:w="2091"/>
        <w:gridCol w:w="1854"/>
        <w:gridCol w:w="1541"/>
        <w:gridCol w:w="2969"/>
      </w:tblGrid>
      <w:tr w14:paraId="40E1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pct"/>
          </w:tcPr>
          <w:p w14:paraId="1E7EB07B">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问题级别</w:t>
            </w:r>
          </w:p>
        </w:tc>
        <w:tc>
          <w:tcPr>
            <w:tcW w:w="1049" w:type="pct"/>
          </w:tcPr>
          <w:p w14:paraId="08E0DA67">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级别特性</w:t>
            </w:r>
          </w:p>
        </w:tc>
        <w:tc>
          <w:tcPr>
            <w:tcW w:w="930" w:type="pct"/>
          </w:tcPr>
          <w:p w14:paraId="57166F6F">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响应时间</w:t>
            </w:r>
          </w:p>
        </w:tc>
        <w:tc>
          <w:tcPr>
            <w:tcW w:w="773" w:type="pct"/>
          </w:tcPr>
          <w:p w14:paraId="6DF434B7">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完成时间</w:t>
            </w:r>
          </w:p>
        </w:tc>
        <w:tc>
          <w:tcPr>
            <w:tcW w:w="1490" w:type="pct"/>
          </w:tcPr>
          <w:p w14:paraId="00A46C1F">
            <w:pPr>
              <w:adjustRightInd w:val="0"/>
              <w:snapToGrid w:val="0"/>
              <w:spacing w:before="156" w:beforeLines="50" w:line="360" w:lineRule="auto"/>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处理机制</w:t>
            </w:r>
          </w:p>
        </w:tc>
      </w:tr>
      <w:tr w14:paraId="1BFD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pct"/>
          </w:tcPr>
          <w:p w14:paraId="3658D47E">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特级</w:t>
            </w:r>
          </w:p>
        </w:tc>
        <w:tc>
          <w:tcPr>
            <w:tcW w:w="1049" w:type="pct"/>
          </w:tcPr>
          <w:p w14:paraId="0ACB1B6E">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系统瘫痪，全部功能无法使用</w:t>
            </w:r>
          </w:p>
        </w:tc>
        <w:tc>
          <w:tcPr>
            <w:tcW w:w="930" w:type="pct"/>
          </w:tcPr>
          <w:p w14:paraId="024C88C0">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1H</w:t>
            </w:r>
          </w:p>
        </w:tc>
        <w:tc>
          <w:tcPr>
            <w:tcW w:w="773" w:type="pct"/>
          </w:tcPr>
          <w:p w14:paraId="5E4D25F1">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6H</w:t>
            </w:r>
          </w:p>
        </w:tc>
        <w:tc>
          <w:tcPr>
            <w:tcW w:w="1490" w:type="pct"/>
          </w:tcPr>
          <w:p w14:paraId="12DED9AB">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维保负责人与客户联系，及时同步进度情况</w:t>
            </w:r>
          </w:p>
        </w:tc>
      </w:tr>
      <w:tr w14:paraId="411D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pct"/>
          </w:tcPr>
          <w:p w14:paraId="68EBF7A0">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一级</w:t>
            </w:r>
          </w:p>
        </w:tc>
        <w:tc>
          <w:tcPr>
            <w:tcW w:w="1049" w:type="pct"/>
          </w:tcPr>
          <w:p w14:paraId="67C36353">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系统关键功能无法使用</w:t>
            </w:r>
          </w:p>
        </w:tc>
        <w:tc>
          <w:tcPr>
            <w:tcW w:w="930" w:type="pct"/>
          </w:tcPr>
          <w:p w14:paraId="011E1988">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2H</w:t>
            </w:r>
          </w:p>
        </w:tc>
        <w:tc>
          <w:tcPr>
            <w:tcW w:w="773" w:type="pct"/>
          </w:tcPr>
          <w:p w14:paraId="6D4B4AC4">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24H</w:t>
            </w:r>
          </w:p>
        </w:tc>
        <w:tc>
          <w:tcPr>
            <w:tcW w:w="1490" w:type="pct"/>
          </w:tcPr>
          <w:p w14:paraId="4154BDC9">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维保组长与客户联系，实时和维保负责人、客户同步相关进度</w:t>
            </w:r>
          </w:p>
        </w:tc>
      </w:tr>
      <w:tr w14:paraId="1216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pct"/>
          </w:tcPr>
          <w:p w14:paraId="613598C9">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二级</w:t>
            </w:r>
          </w:p>
        </w:tc>
        <w:tc>
          <w:tcPr>
            <w:tcW w:w="1049" w:type="pct"/>
          </w:tcPr>
          <w:p w14:paraId="584755D4">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系统非关键性功能无法使用</w:t>
            </w:r>
          </w:p>
        </w:tc>
        <w:tc>
          <w:tcPr>
            <w:tcW w:w="930" w:type="pct"/>
          </w:tcPr>
          <w:p w14:paraId="0F815821">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6H</w:t>
            </w:r>
          </w:p>
        </w:tc>
        <w:tc>
          <w:tcPr>
            <w:tcW w:w="773" w:type="pct"/>
          </w:tcPr>
          <w:p w14:paraId="6E37DF2E">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2工作日</w:t>
            </w:r>
          </w:p>
        </w:tc>
        <w:tc>
          <w:tcPr>
            <w:tcW w:w="1490" w:type="pct"/>
          </w:tcPr>
          <w:p w14:paraId="7BC36FFC">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技术服务专员与客户联系，把计划报备至维保组长</w:t>
            </w:r>
          </w:p>
        </w:tc>
      </w:tr>
      <w:tr w14:paraId="3518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pct"/>
          </w:tcPr>
          <w:p w14:paraId="503AC8C8">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三级</w:t>
            </w:r>
          </w:p>
        </w:tc>
        <w:tc>
          <w:tcPr>
            <w:tcW w:w="1049" w:type="pct"/>
          </w:tcPr>
          <w:p w14:paraId="42CA22FE">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基本功能正常，个别非关键性功能使用不畅</w:t>
            </w:r>
          </w:p>
        </w:tc>
        <w:tc>
          <w:tcPr>
            <w:tcW w:w="930" w:type="pct"/>
          </w:tcPr>
          <w:p w14:paraId="6E06D4A0">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1天</w:t>
            </w:r>
          </w:p>
        </w:tc>
        <w:tc>
          <w:tcPr>
            <w:tcW w:w="773" w:type="pct"/>
          </w:tcPr>
          <w:p w14:paraId="363073BD">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1周</w:t>
            </w:r>
          </w:p>
        </w:tc>
        <w:tc>
          <w:tcPr>
            <w:tcW w:w="1490" w:type="pct"/>
          </w:tcPr>
          <w:p w14:paraId="734C050B">
            <w:pPr>
              <w:adjustRightInd w:val="0"/>
              <w:snapToGrid w:val="0"/>
              <w:spacing w:before="156" w:beforeLines="50"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走bug单，按bug单处理进行书面响应</w:t>
            </w:r>
          </w:p>
        </w:tc>
      </w:tr>
    </w:tbl>
    <w:p w14:paraId="35ECB869">
      <w:pPr>
        <w:spacing w:line="360" w:lineRule="auto"/>
        <w:rPr>
          <w:rFonts w:hint="eastAsia" w:ascii="仿宋" w:hAnsi="仿宋" w:eastAsia="仿宋" w:cs="仿宋"/>
          <w:color w:val="auto"/>
          <w:sz w:val="32"/>
          <w:szCs w:val="32"/>
          <w:lang w:val="en-US" w:eastAsia="zh-CN"/>
        </w:rPr>
      </w:pPr>
    </w:p>
    <w:p w14:paraId="5B0EF9EE">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5.经维护，系统在交付使用后要保证正常运行。</w:t>
      </w:r>
    </w:p>
    <w:p w14:paraId="4B54D266">
      <w:pPr>
        <w:spacing w:line="360" w:lineRule="auto"/>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6.问题解决后，对修改或优化的软件功能及时告知甲方维护人员，由甲方维护人员进行测试和确认。</w:t>
      </w:r>
    </w:p>
    <w:p w14:paraId="58E2BFFF">
      <w:pPr>
        <w:spacing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（三）验收要求。</w:t>
      </w:r>
    </w:p>
    <w:p w14:paraId="35F5574B">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乙方对技术服务请求和处理情况进行详细的记录，详细记录问题来源、问题描述、处理过程、原因分析、处理方案和结果以及相应的时间信息，按月对技术服务请求进行汇总，各项质量指标必须达到服务质量要求。服务期截止前，乙方应向甲方提交技术支持服务总结报告，甲方按照质量要求，根据服务期内服务请求处理情况，系统运行情况，以及主动发现问题并予以解决的情况，对服务质量做出综合评价。</w:t>
      </w:r>
    </w:p>
    <w:p w14:paraId="4192C050">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rPr>
        <w:t>2</w:t>
      </w:r>
      <w:r>
        <w:rPr>
          <w:rFonts w:hint="eastAsia" w:ascii="仿宋" w:hAnsi="仿宋" w:eastAsia="仿宋" w:cs="仿宋"/>
          <w:color w:val="auto"/>
          <w:kern w:val="0"/>
          <w:sz w:val="32"/>
          <w:szCs w:val="32"/>
        </w:rPr>
        <w:t>.</w:t>
      </w:r>
      <w:r>
        <w:rPr>
          <w:rFonts w:hint="eastAsia" w:ascii="仿宋" w:hAnsi="仿宋" w:eastAsia="仿宋" w:cs="仿宋"/>
          <w:color w:val="auto"/>
          <w:sz w:val="32"/>
          <w:szCs w:val="32"/>
        </w:rPr>
        <w:t>乙方提供远程及现场等故障处理服务方式，接到甲方故障报修后可先提供电话响应在线尽快解决，约定的时间内不能够解决问题的情况，必须协调设备原厂商工程师到甲方现场协助完成故障诊断和故障排除。</w:t>
      </w:r>
    </w:p>
    <w:p w14:paraId="22A46AC6">
      <w:pPr>
        <w:spacing w:line="360" w:lineRule="auto"/>
        <w:ind w:firstLine="643" w:firstLineChars="200"/>
        <w:rPr>
          <w:rFonts w:hint="eastAsia" w:ascii="仿宋" w:hAnsi="仿宋" w:eastAsia="仿宋" w:cs="仿宋"/>
          <w:b/>
          <w:color w:val="auto"/>
          <w:sz w:val="32"/>
          <w:szCs w:val="32"/>
          <w:lang w:eastAsia="zh-CN"/>
        </w:rPr>
      </w:pPr>
      <w:r>
        <w:rPr>
          <w:rFonts w:hint="eastAsia" w:ascii="仿宋" w:hAnsi="仿宋" w:eastAsia="仿宋" w:cs="仿宋"/>
          <w:b/>
          <w:color w:val="auto"/>
          <w:sz w:val="32"/>
          <w:szCs w:val="32"/>
        </w:rPr>
        <w:t>三、双方权利与义务</w:t>
      </w:r>
    </w:p>
    <w:p w14:paraId="2ADE9088">
      <w:pPr>
        <w:spacing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（一）甲方的权利和义务</w:t>
      </w:r>
    </w:p>
    <w:p w14:paraId="0451B6B1">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1.甲方负责向乙方提供便利技术服务条件。</w:t>
      </w:r>
    </w:p>
    <w:p w14:paraId="7985C3D4">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2.甲方有权监督、检查乙方维护质量、工期完成及本合同履行情况。</w:t>
      </w:r>
    </w:p>
    <w:p w14:paraId="5A2313EC">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3.甲方负责提供问题的来源、现象和必要测试。</w:t>
      </w:r>
    </w:p>
    <w:p w14:paraId="74240D28">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4.甲方有权在系统维护的及时性及质量等方面对乙方进行评价，有权对乙方发生的违约情况进行扣罚。</w:t>
      </w:r>
    </w:p>
    <w:p w14:paraId="36097C43">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5.甲方有义务及时有效解决任何影响乙方维护目标实现的非乙方维护范围内的相关问题。</w:t>
      </w:r>
    </w:p>
    <w:p w14:paraId="20A61D9B">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6.甲方有义务向乙方相关人员告知相关管理制度和注意事项。</w:t>
      </w:r>
    </w:p>
    <w:p w14:paraId="5479442C">
      <w:pPr>
        <w:spacing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（二）乙方的权利和义务</w:t>
      </w:r>
    </w:p>
    <w:p w14:paraId="1CA9AA08">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1.乙方按照本协议约定保质保量完成所承包的</w:t>
      </w:r>
      <w:r>
        <w:rPr>
          <w:rFonts w:hint="eastAsia" w:ascii="仿宋" w:hAnsi="仿宋" w:eastAsia="仿宋" w:cs="仿宋"/>
          <w:color w:val="auto"/>
          <w:sz w:val="32"/>
          <w:szCs w:val="32"/>
          <w:lang w:val="en-US" w:eastAsia="zh-CN"/>
        </w:rPr>
        <w:t>服务</w:t>
      </w:r>
      <w:r>
        <w:rPr>
          <w:rFonts w:hint="eastAsia" w:ascii="仿宋" w:hAnsi="仿宋" w:eastAsia="仿宋" w:cs="仿宋"/>
          <w:color w:val="auto"/>
          <w:sz w:val="32"/>
          <w:szCs w:val="32"/>
        </w:rPr>
        <w:t>内容，确保所维护系统的正常运行。</w:t>
      </w:r>
    </w:p>
    <w:p w14:paraId="33541077">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2.乙方必须及时安排技术人员、高效组织系统维护工作。</w:t>
      </w:r>
    </w:p>
    <w:p w14:paraId="2FC47C69">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3.乙方有权向甲方提出工作异议和修正意见，有权拒绝甲方提出的不合理请求。</w:t>
      </w:r>
    </w:p>
    <w:p w14:paraId="5367F4FA">
      <w:pPr>
        <w:spacing w:line="360" w:lineRule="auto"/>
        <w:ind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四、</w:t>
      </w:r>
      <w:r>
        <w:rPr>
          <w:rFonts w:hint="eastAsia" w:ascii="仿宋" w:hAnsi="仿宋" w:eastAsia="仿宋" w:cs="仿宋"/>
          <w:b/>
          <w:color w:val="auto"/>
          <w:sz w:val="32"/>
          <w:szCs w:val="32"/>
          <w:lang w:eastAsia="zh-CN"/>
        </w:rPr>
        <w:t>合同付款</w:t>
      </w:r>
      <w:r>
        <w:rPr>
          <w:rFonts w:hint="eastAsia" w:ascii="仿宋" w:hAnsi="仿宋" w:eastAsia="仿宋" w:cs="仿宋"/>
          <w:b/>
          <w:color w:val="auto"/>
          <w:sz w:val="32"/>
          <w:szCs w:val="32"/>
        </w:rPr>
        <w:t>方式</w:t>
      </w:r>
      <w:r>
        <w:rPr>
          <w:rFonts w:hint="eastAsia" w:ascii="仿宋" w:hAnsi="仿宋" w:eastAsia="仿宋" w:cs="仿宋"/>
          <w:b/>
          <w:color w:val="auto"/>
          <w:sz w:val="32"/>
          <w:szCs w:val="32"/>
          <w:lang w:eastAsia="zh-CN"/>
        </w:rPr>
        <w:t>及付款条件</w:t>
      </w:r>
    </w:p>
    <w:p w14:paraId="76FCCFD5">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.付款方式：银行承兑或现汇，具体以</w:t>
      </w:r>
      <w:r>
        <w:rPr>
          <w:rFonts w:hint="eastAsia" w:ascii="仿宋" w:hAnsi="仿宋" w:eastAsia="仿宋" w:cs="仿宋"/>
          <w:color w:val="auto"/>
          <w:sz w:val="32"/>
          <w:szCs w:val="32"/>
          <w:lang w:val="en-US" w:eastAsia="zh-CN"/>
        </w:rPr>
        <w:t>甲</w:t>
      </w:r>
      <w:r>
        <w:rPr>
          <w:rFonts w:hint="eastAsia" w:ascii="仿宋" w:hAnsi="仿宋" w:eastAsia="仿宋" w:cs="仿宋"/>
          <w:color w:val="auto"/>
          <w:sz w:val="32"/>
          <w:szCs w:val="32"/>
        </w:rPr>
        <w:t>方财务相关规定进行支付。</w:t>
      </w:r>
    </w:p>
    <w:p w14:paraId="24D74FED">
      <w:pPr>
        <w:spacing w:line="360" w:lineRule="auto"/>
        <w:ind w:firstLine="640" w:firstLineChars="200"/>
        <w:rPr>
          <w:rFonts w:hint="eastAsia" w:ascii="仿宋" w:hAnsi="仿宋" w:eastAsia="仿宋" w:cs="仿宋"/>
          <w:color w:val="auto"/>
          <w:sz w:val="32"/>
          <w:szCs w:val="32"/>
          <w:lang w:val="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val="zh-CN"/>
        </w:rPr>
        <w:t>.付款条件：</w:t>
      </w:r>
      <w:r>
        <w:rPr>
          <w:rFonts w:hint="eastAsia" w:ascii="仿宋" w:hAnsi="仿宋" w:eastAsia="仿宋" w:cs="仿宋"/>
          <w:color w:val="auto"/>
          <w:sz w:val="32"/>
          <w:szCs w:val="32"/>
          <w:lang w:val="en-US" w:eastAsia="zh-CN"/>
        </w:rPr>
        <w:t>服务到期后</w:t>
      </w:r>
      <w:r>
        <w:rPr>
          <w:rFonts w:hint="eastAsia" w:ascii="仿宋" w:hAnsi="仿宋" w:eastAsia="仿宋" w:cs="仿宋"/>
          <w:color w:val="auto"/>
          <w:sz w:val="32"/>
          <w:szCs w:val="32"/>
          <w:lang w:val="zh-CN"/>
        </w:rPr>
        <w:t>，</w:t>
      </w:r>
      <w:r>
        <w:rPr>
          <w:rFonts w:hint="eastAsia" w:ascii="仿宋" w:hAnsi="仿宋" w:eastAsia="仿宋" w:cs="仿宋"/>
          <w:color w:val="auto"/>
          <w:sz w:val="32"/>
          <w:szCs w:val="32"/>
          <w:lang w:val="en-US" w:eastAsia="zh-CN"/>
        </w:rPr>
        <w:t>甲方对乙方</w:t>
      </w:r>
      <w:r>
        <w:rPr>
          <w:rFonts w:hint="eastAsia" w:ascii="仿宋" w:hAnsi="仿宋" w:eastAsia="仿宋" w:cs="仿宋"/>
          <w:color w:val="auto"/>
          <w:sz w:val="32"/>
          <w:szCs w:val="32"/>
        </w:rPr>
        <w:t>提交技术支持服务总结报告</w:t>
      </w:r>
      <w:r>
        <w:rPr>
          <w:rFonts w:hint="eastAsia" w:ascii="仿宋" w:hAnsi="仿宋" w:eastAsia="仿宋" w:cs="仿宋"/>
          <w:color w:val="auto"/>
          <w:sz w:val="32"/>
          <w:szCs w:val="32"/>
          <w:lang w:val="en-US" w:eastAsia="zh-CN"/>
        </w:rPr>
        <w:t>进行评价，评价合格后，甲</w:t>
      </w:r>
      <w:r>
        <w:rPr>
          <w:rFonts w:hint="eastAsia" w:ascii="仿宋" w:hAnsi="仿宋" w:eastAsia="仿宋" w:cs="仿宋"/>
          <w:color w:val="auto"/>
          <w:sz w:val="32"/>
          <w:szCs w:val="32"/>
          <w:lang w:val="zh-CN"/>
        </w:rPr>
        <w:t>方通知</w:t>
      </w:r>
      <w:r>
        <w:rPr>
          <w:rFonts w:hint="eastAsia" w:ascii="仿宋" w:hAnsi="仿宋" w:eastAsia="仿宋" w:cs="仿宋"/>
          <w:color w:val="auto"/>
          <w:sz w:val="32"/>
          <w:szCs w:val="32"/>
          <w:lang w:val="en-US" w:eastAsia="zh-CN"/>
        </w:rPr>
        <w:t>乙</w:t>
      </w:r>
      <w:r>
        <w:rPr>
          <w:rFonts w:hint="eastAsia" w:ascii="仿宋" w:hAnsi="仿宋" w:eastAsia="仿宋" w:cs="仿宋"/>
          <w:color w:val="auto"/>
          <w:sz w:val="32"/>
          <w:szCs w:val="32"/>
          <w:lang w:val="zh-CN"/>
        </w:rPr>
        <w:t>方开具合同金额</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lang w:val="zh-CN"/>
        </w:rPr>
        <w:t>0%增值税专用发票（注明合同编号），</w:t>
      </w:r>
      <w:r>
        <w:rPr>
          <w:rFonts w:hint="eastAsia" w:ascii="仿宋" w:hAnsi="仿宋" w:eastAsia="仿宋" w:cs="仿宋"/>
          <w:color w:val="auto"/>
          <w:sz w:val="32"/>
          <w:szCs w:val="32"/>
          <w:lang w:val="en-US" w:eastAsia="zh-CN"/>
        </w:rPr>
        <w:t>甲方</w:t>
      </w:r>
      <w:r>
        <w:rPr>
          <w:rFonts w:hint="eastAsia" w:ascii="仿宋" w:hAnsi="仿宋" w:eastAsia="仿宋" w:cs="仿宋"/>
          <w:color w:val="auto"/>
          <w:sz w:val="32"/>
          <w:szCs w:val="32"/>
          <w:lang w:val="zh-CN"/>
        </w:rPr>
        <w:t>按照</w:t>
      </w:r>
      <w:r>
        <w:rPr>
          <w:rFonts w:hint="eastAsia" w:ascii="仿宋" w:hAnsi="仿宋" w:eastAsia="仿宋" w:cs="仿宋"/>
          <w:color w:val="auto"/>
          <w:sz w:val="32"/>
          <w:szCs w:val="32"/>
          <w:lang w:val="en-US" w:eastAsia="zh-CN"/>
        </w:rPr>
        <w:t>甲</w:t>
      </w:r>
      <w:r>
        <w:rPr>
          <w:rFonts w:hint="eastAsia" w:ascii="仿宋" w:hAnsi="仿宋" w:eastAsia="仿宋" w:cs="仿宋"/>
          <w:color w:val="auto"/>
          <w:sz w:val="32"/>
          <w:szCs w:val="32"/>
          <w:lang w:val="zh-CN"/>
        </w:rPr>
        <w:t>方财务相关规定支付合同金额的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lang w:val="zh-CN"/>
        </w:rPr>
        <w:t>%。</w:t>
      </w:r>
    </w:p>
    <w:p w14:paraId="24E2A780">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4.乙方必须向甲方开具真实、合法、有效的增值税专用发票，开票前需与买方确认开票信息，发票备注栏须注明项目名称、合同编号。因乙</w:t>
      </w:r>
      <w:r>
        <w:rPr>
          <w:rFonts w:hint="eastAsia" w:ascii="仿宋" w:hAnsi="仿宋" w:eastAsia="仿宋" w:cs="仿宋"/>
          <w:color w:val="auto"/>
          <w:sz w:val="32"/>
          <w:szCs w:val="32"/>
        </w:rPr>
        <w:t>方原因致使甲方无法取得增值税专用发票的，应由乙方承担甲方无法抵扣销项税造成的损失</w:t>
      </w:r>
      <w:r>
        <w:rPr>
          <w:rFonts w:hint="eastAsia" w:ascii="仿宋" w:hAnsi="仿宋" w:eastAsia="仿宋" w:cs="仿宋"/>
          <w:color w:val="auto"/>
          <w:sz w:val="32"/>
          <w:szCs w:val="32"/>
          <w:lang w:eastAsia="zh-CN"/>
        </w:rPr>
        <w:t>。</w:t>
      </w:r>
    </w:p>
    <w:p w14:paraId="40BFDAD4">
      <w:pPr>
        <w:spacing w:line="360" w:lineRule="auto"/>
        <w:ind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五</w:t>
      </w:r>
      <w:r>
        <w:rPr>
          <w:rFonts w:hint="eastAsia" w:ascii="仿宋" w:hAnsi="仿宋" w:eastAsia="仿宋" w:cs="仿宋"/>
          <w:b/>
          <w:color w:val="auto"/>
          <w:sz w:val="32"/>
          <w:szCs w:val="32"/>
        </w:rPr>
        <w:t>、保密责任</w:t>
      </w:r>
    </w:p>
    <w:p w14:paraId="08775750">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1.甲方系统管理员用户名和密码、平台内</w:t>
      </w:r>
      <w:r>
        <w:rPr>
          <w:rFonts w:hint="eastAsia" w:ascii="仿宋" w:hAnsi="仿宋" w:eastAsia="仿宋" w:cs="仿宋"/>
          <w:color w:val="auto"/>
          <w:sz w:val="32"/>
          <w:szCs w:val="32"/>
          <w:lang w:val="en-US" w:eastAsia="zh-CN"/>
        </w:rPr>
        <w:t>生产</w:t>
      </w:r>
      <w:r>
        <w:rPr>
          <w:rFonts w:hint="eastAsia" w:ascii="仿宋" w:hAnsi="仿宋" w:eastAsia="仿宋" w:cs="仿宋"/>
          <w:color w:val="auto"/>
          <w:sz w:val="32"/>
          <w:szCs w:val="32"/>
        </w:rPr>
        <w:t>等相关的一切业务数据，以及甲方向乙方提供的相关业务材料等都属商业秘密，乙方需严格保密不能向任何第三方透露。</w:t>
      </w:r>
    </w:p>
    <w:p w14:paraId="2906F983">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2.在履行技术服务过程中，确实由于系统维护需要由甲方向乙方开放系统管理员用户名和密码</w:t>
      </w:r>
      <w:r>
        <w:rPr>
          <w:rFonts w:hint="eastAsia" w:ascii="仿宋" w:hAnsi="仿宋" w:eastAsia="仿宋" w:cs="仿宋"/>
          <w:color w:val="auto"/>
          <w:sz w:val="32"/>
          <w:szCs w:val="32"/>
          <w:lang w:val="en-US" w:eastAsia="zh-CN"/>
        </w:rPr>
        <w:t>等</w:t>
      </w:r>
      <w:r>
        <w:rPr>
          <w:rFonts w:hint="eastAsia" w:ascii="仿宋" w:hAnsi="仿宋" w:eastAsia="仿宋" w:cs="仿宋"/>
          <w:color w:val="auto"/>
          <w:sz w:val="32"/>
          <w:szCs w:val="32"/>
        </w:rPr>
        <w:t>有关资料仅被用于它所规定的维护用途，不能向任何第三方透露，如果乙方违反保密责任需承担由此引起的一切后果及法律责任、赔偿损失。</w:t>
      </w:r>
    </w:p>
    <w:p w14:paraId="493C99EF">
      <w:pPr>
        <w:spacing w:line="360" w:lineRule="auto"/>
        <w:ind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六</w:t>
      </w:r>
      <w:r>
        <w:rPr>
          <w:rFonts w:hint="eastAsia" w:ascii="仿宋" w:hAnsi="仿宋" w:eastAsia="仿宋" w:cs="仿宋"/>
          <w:b/>
          <w:color w:val="auto"/>
          <w:sz w:val="32"/>
          <w:szCs w:val="32"/>
        </w:rPr>
        <w:t>、知识产权</w:t>
      </w:r>
    </w:p>
    <w:p w14:paraId="370E717A">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1.乙方向甲方保证根据本合同中由乙方提供的服务不会构成对任何第三方的专利、版权、商标权、商业秘密或其他财产的侵犯。如有上述情况发生，责任由乙方负责。</w:t>
      </w:r>
    </w:p>
    <w:p w14:paraId="793997F7">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2.技术服务过程中产生的成果物应由甲方所有。</w:t>
      </w:r>
    </w:p>
    <w:p w14:paraId="1687D149">
      <w:pPr>
        <w:spacing w:line="360" w:lineRule="auto"/>
        <w:ind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七</w:t>
      </w:r>
      <w:r>
        <w:rPr>
          <w:rFonts w:hint="eastAsia" w:ascii="仿宋" w:hAnsi="仿宋" w:eastAsia="仿宋" w:cs="仿宋"/>
          <w:b/>
          <w:color w:val="auto"/>
          <w:sz w:val="32"/>
          <w:szCs w:val="32"/>
        </w:rPr>
        <w:t>、违约责任</w:t>
      </w:r>
    </w:p>
    <w:p w14:paraId="07DC904A">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1.发生一般使用故障在</w:t>
      </w:r>
      <w:r>
        <w:rPr>
          <w:rFonts w:hint="eastAsia" w:ascii="仿宋" w:hAnsi="仿宋" w:eastAsia="仿宋" w:cs="仿宋"/>
          <w:color w:val="auto"/>
          <w:sz w:val="32"/>
          <w:szCs w:val="32"/>
          <w:u w:val="single"/>
          <w:lang w:val="en-US" w:eastAsia="zh-CN"/>
        </w:rPr>
        <w:t>5</w:t>
      </w:r>
      <w:r>
        <w:rPr>
          <w:rFonts w:hint="eastAsia" w:ascii="仿宋" w:hAnsi="仿宋" w:eastAsia="仿宋" w:cs="仿宋"/>
          <w:color w:val="auto"/>
          <w:sz w:val="32"/>
          <w:szCs w:val="32"/>
          <w:lang w:val="en-US" w:eastAsia="zh-CN"/>
        </w:rPr>
        <w:t>天</w:t>
      </w:r>
      <w:r>
        <w:rPr>
          <w:rFonts w:hint="eastAsia" w:ascii="仿宋" w:hAnsi="仿宋" w:eastAsia="仿宋" w:cs="仿宋"/>
          <w:color w:val="auto"/>
          <w:sz w:val="32"/>
          <w:szCs w:val="32"/>
        </w:rPr>
        <w:t>未能解决影响正常业务的，</w:t>
      </w:r>
      <w:r>
        <w:rPr>
          <w:rFonts w:hint="eastAsia" w:ascii="仿宋" w:hAnsi="仿宋" w:eastAsia="仿宋" w:cs="仿宋"/>
          <w:color w:val="auto"/>
          <w:sz w:val="32"/>
          <w:szCs w:val="32"/>
          <w:lang w:val="en-US" w:eastAsia="zh-CN"/>
        </w:rPr>
        <w:t>或</w:t>
      </w:r>
      <w:r>
        <w:rPr>
          <w:rFonts w:hint="eastAsia" w:ascii="仿宋" w:hAnsi="仿宋" w:eastAsia="仿宋" w:cs="仿宋"/>
          <w:color w:val="auto"/>
          <w:sz w:val="32"/>
          <w:szCs w:val="32"/>
        </w:rPr>
        <w:t>发生重大技术问题及严重程序错误</w:t>
      </w:r>
      <w:r>
        <w:rPr>
          <w:rFonts w:hint="eastAsia" w:ascii="仿宋" w:hAnsi="仿宋" w:eastAsia="仿宋" w:cs="仿宋"/>
          <w:color w:val="auto"/>
          <w:sz w:val="32"/>
          <w:szCs w:val="32"/>
          <w:u w:val="single"/>
          <w:lang w:val="en-US" w:eastAsia="zh-CN"/>
        </w:rPr>
        <w:t>2</w:t>
      </w:r>
      <w:r>
        <w:rPr>
          <w:rFonts w:hint="eastAsia" w:ascii="仿宋" w:hAnsi="仿宋" w:eastAsia="仿宋" w:cs="仿宋"/>
          <w:color w:val="auto"/>
          <w:sz w:val="32"/>
          <w:szCs w:val="32"/>
          <w:lang w:val="en-US" w:eastAsia="zh-CN"/>
        </w:rPr>
        <w:t>天</w:t>
      </w:r>
      <w:r>
        <w:rPr>
          <w:rFonts w:hint="eastAsia" w:ascii="仿宋" w:hAnsi="仿宋" w:eastAsia="仿宋" w:cs="仿宋"/>
          <w:color w:val="auto"/>
          <w:sz w:val="32"/>
          <w:szCs w:val="32"/>
        </w:rPr>
        <w:t>未能解决也未到达现场的，乙方支付</w:t>
      </w:r>
      <w:r>
        <w:rPr>
          <w:rFonts w:hint="eastAsia" w:ascii="仿宋" w:hAnsi="仿宋" w:eastAsia="仿宋" w:cs="仿宋"/>
          <w:color w:val="auto"/>
          <w:sz w:val="32"/>
          <w:szCs w:val="32"/>
          <w:lang w:val="en-US" w:eastAsia="zh-CN"/>
        </w:rPr>
        <w:t>合同</w:t>
      </w:r>
      <w:r>
        <w:rPr>
          <w:rFonts w:hint="eastAsia" w:ascii="仿宋" w:hAnsi="仿宋" w:eastAsia="仿宋" w:cs="仿宋"/>
          <w:color w:val="auto"/>
          <w:sz w:val="32"/>
          <w:szCs w:val="32"/>
        </w:rPr>
        <w:t>总</w:t>
      </w:r>
      <w:r>
        <w:rPr>
          <w:rFonts w:hint="eastAsia" w:ascii="仿宋" w:hAnsi="仿宋" w:eastAsia="仿宋" w:cs="仿宋"/>
          <w:color w:val="auto"/>
          <w:sz w:val="32"/>
          <w:szCs w:val="32"/>
          <w:lang w:val="en-US" w:eastAsia="zh-CN"/>
        </w:rPr>
        <w:t>金额</w:t>
      </w:r>
      <w:r>
        <w:rPr>
          <w:rFonts w:hint="eastAsia" w:ascii="仿宋" w:hAnsi="仿宋" w:eastAsia="仿宋" w:cs="仿宋"/>
          <w:color w:val="auto"/>
          <w:sz w:val="32"/>
          <w:szCs w:val="32"/>
          <w:u w:val="single"/>
        </w:rPr>
        <w:t>1</w:t>
      </w:r>
      <w:r>
        <w:rPr>
          <w:rFonts w:hint="eastAsia" w:ascii="仿宋" w:hAnsi="仿宋" w:eastAsia="仿宋" w:cs="仿宋"/>
          <w:color w:val="auto"/>
          <w:sz w:val="32"/>
          <w:szCs w:val="32"/>
        </w:rPr>
        <w:t>%的违约金</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每超一天</w:t>
      </w:r>
      <w:r>
        <w:rPr>
          <w:rFonts w:hint="eastAsia" w:ascii="仿宋" w:hAnsi="仿宋" w:eastAsia="仿宋" w:cs="仿宋"/>
          <w:color w:val="auto"/>
          <w:sz w:val="32"/>
          <w:szCs w:val="32"/>
        </w:rPr>
        <w:t>乙方支付</w:t>
      </w:r>
      <w:r>
        <w:rPr>
          <w:rFonts w:hint="eastAsia" w:ascii="仿宋" w:hAnsi="仿宋" w:eastAsia="仿宋" w:cs="仿宋"/>
          <w:color w:val="auto"/>
          <w:sz w:val="32"/>
          <w:szCs w:val="32"/>
          <w:lang w:val="en-US" w:eastAsia="zh-CN"/>
        </w:rPr>
        <w:t>合同</w:t>
      </w:r>
      <w:r>
        <w:rPr>
          <w:rFonts w:hint="eastAsia" w:ascii="仿宋" w:hAnsi="仿宋" w:eastAsia="仿宋" w:cs="仿宋"/>
          <w:color w:val="auto"/>
          <w:sz w:val="32"/>
          <w:szCs w:val="32"/>
        </w:rPr>
        <w:t>总</w:t>
      </w:r>
      <w:r>
        <w:rPr>
          <w:rFonts w:hint="eastAsia" w:ascii="仿宋" w:hAnsi="仿宋" w:eastAsia="仿宋" w:cs="仿宋"/>
          <w:color w:val="auto"/>
          <w:sz w:val="32"/>
          <w:szCs w:val="32"/>
          <w:lang w:val="en-US" w:eastAsia="zh-CN"/>
        </w:rPr>
        <w:t>金额</w:t>
      </w:r>
      <w:r>
        <w:rPr>
          <w:rFonts w:hint="eastAsia" w:ascii="仿宋" w:hAnsi="仿宋" w:eastAsia="仿宋" w:cs="仿宋"/>
          <w:color w:val="auto"/>
          <w:sz w:val="32"/>
          <w:szCs w:val="32"/>
          <w:u w:val="single"/>
        </w:rPr>
        <w:t>1</w:t>
      </w:r>
      <w:r>
        <w:rPr>
          <w:rFonts w:hint="eastAsia" w:ascii="仿宋" w:hAnsi="仿宋" w:eastAsia="仿宋" w:cs="仿宋"/>
          <w:color w:val="auto"/>
          <w:sz w:val="32"/>
          <w:szCs w:val="32"/>
        </w:rPr>
        <w:t>%的违约金</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若超过30天，甲方有权解除合同。</w:t>
      </w:r>
    </w:p>
    <w:p w14:paraId="3A399835">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2.因乙方原因，在服务过程中给甲方造成各种损失，由乙方负责赔偿全部</w:t>
      </w:r>
      <w:r>
        <w:rPr>
          <w:rFonts w:hint="eastAsia" w:ascii="仿宋" w:hAnsi="仿宋" w:eastAsia="仿宋" w:cs="仿宋"/>
          <w:color w:val="auto"/>
          <w:sz w:val="32"/>
          <w:szCs w:val="32"/>
          <w:lang w:val="en-US" w:eastAsia="zh-CN"/>
        </w:rPr>
        <w:t>损失</w:t>
      </w:r>
      <w:r>
        <w:rPr>
          <w:rFonts w:hint="eastAsia" w:ascii="仿宋" w:hAnsi="仿宋" w:eastAsia="仿宋" w:cs="仿宋"/>
          <w:color w:val="auto"/>
          <w:sz w:val="32"/>
          <w:szCs w:val="32"/>
        </w:rPr>
        <w:t>。</w:t>
      </w:r>
    </w:p>
    <w:p w14:paraId="3D4C8382">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3.发生触犯国家法律法规情况，按国家法律法规执行。</w:t>
      </w:r>
    </w:p>
    <w:p w14:paraId="60DFA4A1">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4.合同生效后，任何一方无正当理由解除或不履行合同的，给对方造成影响，违约方给</w:t>
      </w:r>
      <w:r>
        <w:rPr>
          <w:rFonts w:hint="eastAsia" w:ascii="仿宋" w:hAnsi="仿宋" w:eastAsia="仿宋" w:cs="仿宋"/>
          <w:color w:val="auto"/>
          <w:sz w:val="32"/>
          <w:szCs w:val="32"/>
          <w:lang w:val="en-US" w:eastAsia="zh-CN"/>
        </w:rPr>
        <w:t>相</w:t>
      </w:r>
      <w:r>
        <w:rPr>
          <w:rFonts w:hint="eastAsia" w:ascii="仿宋" w:hAnsi="仿宋" w:eastAsia="仿宋" w:cs="仿宋"/>
          <w:color w:val="auto"/>
          <w:sz w:val="32"/>
          <w:szCs w:val="32"/>
        </w:rPr>
        <w:t>对方支付合同总</w:t>
      </w:r>
      <w:r>
        <w:rPr>
          <w:rFonts w:hint="eastAsia" w:ascii="仿宋" w:hAnsi="仿宋" w:eastAsia="仿宋" w:cs="仿宋"/>
          <w:color w:val="auto"/>
          <w:sz w:val="32"/>
          <w:szCs w:val="32"/>
          <w:lang w:val="en-US" w:eastAsia="zh-CN"/>
        </w:rPr>
        <w:t>金额</w:t>
      </w:r>
      <w:r>
        <w:rPr>
          <w:rFonts w:hint="eastAsia" w:ascii="仿宋" w:hAnsi="仿宋" w:eastAsia="仿宋" w:cs="仿宋"/>
          <w:color w:val="auto"/>
          <w:sz w:val="32"/>
          <w:szCs w:val="32"/>
          <w:u w:val="single"/>
        </w:rPr>
        <w:t>20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的</w:t>
      </w:r>
      <w:r>
        <w:rPr>
          <w:rFonts w:hint="eastAsia" w:ascii="仿宋" w:hAnsi="仿宋" w:eastAsia="仿宋" w:cs="仿宋"/>
          <w:color w:val="auto"/>
          <w:sz w:val="32"/>
          <w:szCs w:val="32"/>
        </w:rPr>
        <w:t>违约金。由于不可抗力造成协议不能履行的情况除外。</w:t>
      </w:r>
    </w:p>
    <w:p w14:paraId="5FEFEC23">
      <w:pPr>
        <w:spacing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八</w:t>
      </w:r>
      <w:r>
        <w:rPr>
          <w:rFonts w:hint="eastAsia" w:ascii="仿宋" w:hAnsi="仿宋" w:eastAsia="仿宋" w:cs="仿宋"/>
          <w:b/>
          <w:bCs/>
          <w:color w:val="auto"/>
          <w:sz w:val="32"/>
          <w:szCs w:val="32"/>
        </w:rPr>
        <w:t>、合同解除</w:t>
      </w:r>
    </w:p>
    <w:p w14:paraId="2CF22A45">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1.乙方给甲方提供的技术服务不能满足甲方需求及侵犯第三方知识产权等情形的，甲方可以解除合同，且不支付违约金，通知到达乙方即视为合同解除。</w:t>
      </w:r>
    </w:p>
    <w:p w14:paraId="487A19DB">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2.由于战争、地震、水灾、火灾、暴风雪或其他不可抗力原因而不能履行合同的一方可解除合同，解除合同一方不负有违约责任。</w:t>
      </w:r>
    </w:p>
    <w:p w14:paraId="6BB66EB3">
      <w:pPr>
        <w:spacing w:line="360" w:lineRule="auto"/>
        <w:ind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九</w:t>
      </w:r>
      <w:r>
        <w:rPr>
          <w:rFonts w:hint="eastAsia" w:ascii="仿宋" w:hAnsi="仿宋" w:eastAsia="仿宋" w:cs="仿宋"/>
          <w:b/>
          <w:color w:val="auto"/>
          <w:sz w:val="32"/>
          <w:szCs w:val="32"/>
        </w:rPr>
        <w:t>、解决合同纠纷的方式</w:t>
      </w:r>
    </w:p>
    <w:p w14:paraId="16056CFB">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本合同在履行过程中发生争议，甲乙双方协商解决；协商不成，可向合同签订地有管辖权的人民法院起诉。</w:t>
      </w:r>
    </w:p>
    <w:p w14:paraId="5ACAAF9C">
      <w:pPr>
        <w:spacing w:line="360" w:lineRule="auto"/>
        <w:ind w:firstLine="643" w:firstLineChars="200"/>
        <w:rPr>
          <w:rFonts w:hint="eastAsia" w:ascii="仿宋" w:hAnsi="仿宋" w:eastAsia="仿宋" w:cs="仿宋"/>
          <w:b/>
          <w:color w:val="auto"/>
          <w:sz w:val="32"/>
          <w:szCs w:val="32"/>
        </w:rPr>
      </w:pPr>
      <w:r>
        <w:rPr>
          <w:rFonts w:hint="eastAsia" w:ascii="仿宋" w:hAnsi="仿宋" w:eastAsia="仿宋" w:cs="仿宋"/>
          <w:b/>
          <w:color w:val="auto"/>
          <w:sz w:val="32"/>
          <w:szCs w:val="32"/>
        </w:rPr>
        <w:t>十、其他约定事项</w:t>
      </w:r>
    </w:p>
    <w:p w14:paraId="37439CDC">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若乙方车辆或人员在进入甲方厂区和工作场所范围内，因不遵守甲方相关规定引起的安全事故，后果由乙方全权自负，甲方不承担任何法律责任。</w:t>
      </w:r>
    </w:p>
    <w:p w14:paraId="512D5D92">
      <w:pPr>
        <w:spacing w:line="360" w:lineRule="auto"/>
        <w:rPr>
          <w:color w:val="auto"/>
        </w:rPr>
      </w:pPr>
    </w:p>
    <w:p w14:paraId="737EFF96">
      <w:pPr>
        <w:spacing w:line="360" w:lineRule="auto"/>
        <w:rPr>
          <w:color w:val="auto"/>
        </w:rPr>
      </w:pPr>
    </w:p>
    <w:p w14:paraId="02FD9196">
      <w:pPr>
        <w:rPr>
          <w:rFonts w:hint="eastAsia" w:asciiTheme="minorEastAsia" w:hAnsiTheme="minorEastAsia" w:eastAsiaTheme="minorEastAsia" w:cstheme="minorEastAsia"/>
          <w:color w:val="auto"/>
          <w:sz w:val="21"/>
          <w:szCs w:val="21"/>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Sans Serif">
    <w:altName w:val="Arial"/>
    <w:panose1 w:val="00000000000000000000"/>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zY2MjQ3YzVjNGJiMThmM2I5MDg0OGFjZjcxMjMifQ=="/>
    <w:docVar w:name="KSO_WPS_MARK_KEY" w:val="eefad79a-cd6b-4e89-bb57-e5a0a1ac7ddd"/>
  </w:docVars>
  <w:rsids>
    <w:rsidRoot w:val="492A28D3"/>
    <w:rsid w:val="00027044"/>
    <w:rsid w:val="00065BE2"/>
    <w:rsid w:val="002B1249"/>
    <w:rsid w:val="003C3456"/>
    <w:rsid w:val="003D66AD"/>
    <w:rsid w:val="003F7272"/>
    <w:rsid w:val="004A243C"/>
    <w:rsid w:val="004F4070"/>
    <w:rsid w:val="006A7B58"/>
    <w:rsid w:val="007F1FA2"/>
    <w:rsid w:val="008F1266"/>
    <w:rsid w:val="0090573B"/>
    <w:rsid w:val="00915CF5"/>
    <w:rsid w:val="00A868DD"/>
    <w:rsid w:val="00B80F39"/>
    <w:rsid w:val="00D16775"/>
    <w:rsid w:val="00D54DBE"/>
    <w:rsid w:val="00DE3DBE"/>
    <w:rsid w:val="00F83C40"/>
    <w:rsid w:val="01141165"/>
    <w:rsid w:val="01496FFB"/>
    <w:rsid w:val="03494A96"/>
    <w:rsid w:val="045A7250"/>
    <w:rsid w:val="04804632"/>
    <w:rsid w:val="052E26E3"/>
    <w:rsid w:val="058575EE"/>
    <w:rsid w:val="06D43EBF"/>
    <w:rsid w:val="07987670"/>
    <w:rsid w:val="081D5885"/>
    <w:rsid w:val="0851389C"/>
    <w:rsid w:val="09120ACC"/>
    <w:rsid w:val="095D293A"/>
    <w:rsid w:val="0A194CE1"/>
    <w:rsid w:val="0B3F2F50"/>
    <w:rsid w:val="0C137E35"/>
    <w:rsid w:val="0DA14B80"/>
    <w:rsid w:val="0EE14ACE"/>
    <w:rsid w:val="11F4211B"/>
    <w:rsid w:val="12470150"/>
    <w:rsid w:val="125D35FF"/>
    <w:rsid w:val="12B9453B"/>
    <w:rsid w:val="131D2158"/>
    <w:rsid w:val="136B10E2"/>
    <w:rsid w:val="139E2667"/>
    <w:rsid w:val="144808AD"/>
    <w:rsid w:val="14AC4CE6"/>
    <w:rsid w:val="14C845FC"/>
    <w:rsid w:val="15842905"/>
    <w:rsid w:val="16901801"/>
    <w:rsid w:val="188020AC"/>
    <w:rsid w:val="18AA0C7F"/>
    <w:rsid w:val="1A8F2E34"/>
    <w:rsid w:val="1A9B4180"/>
    <w:rsid w:val="1B76419C"/>
    <w:rsid w:val="1CA52116"/>
    <w:rsid w:val="1F067DF1"/>
    <w:rsid w:val="1F6B2440"/>
    <w:rsid w:val="204543FF"/>
    <w:rsid w:val="207B250F"/>
    <w:rsid w:val="2566369C"/>
    <w:rsid w:val="262E3BFB"/>
    <w:rsid w:val="27D61BE1"/>
    <w:rsid w:val="281121DB"/>
    <w:rsid w:val="28395B1B"/>
    <w:rsid w:val="2A7C422F"/>
    <w:rsid w:val="2AF94A8E"/>
    <w:rsid w:val="2B027452"/>
    <w:rsid w:val="2D5D4AAF"/>
    <w:rsid w:val="2F3B58BA"/>
    <w:rsid w:val="2F4A5871"/>
    <w:rsid w:val="2FA15B59"/>
    <w:rsid w:val="311741D6"/>
    <w:rsid w:val="316B46AD"/>
    <w:rsid w:val="32537FFC"/>
    <w:rsid w:val="32934097"/>
    <w:rsid w:val="35BC0D35"/>
    <w:rsid w:val="35DA0890"/>
    <w:rsid w:val="362B0F0D"/>
    <w:rsid w:val="36DE190A"/>
    <w:rsid w:val="37C645B4"/>
    <w:rsid w:val="38652E53"/>
    <w:rsid w:val="3AD53DD8"/>
    <w:rsid w:val="3BC23BC1"/>
    <w:rsid w:val="3CBA4255"/>
    <w:rsid w:val="3D4B6C09"/>
    <w:rsid w:val="40C30DF3"/>
    <w:rsid w:val="41A3665C"/>
    <w:rsid w:val="41A50646"/>
    <w:rsid w:val="41AB3956"/>
    <w:rsid w:val="42E12894"/>
    <w:rsid w:val="45426F15"/>
    <w:rsid w:val="45497814"/>
    <w:rsid w:val="47733D80"/>
    <w:rsid w:val="47CF4191"/>
    <w:rsid w:val="486E18F2"/>
    <w:rsid w:val="488F0A00"/>
    <w:rsid w:val="488F2C30"/>
    <w:rsid w:val="48F6267C"/>
    <w:rsid w:val="492A28D3"/>
    <w:rsid w:val="49AD7388"/>
    <w:rsid w:val="4B7A0236"/>
    <w:rsid w:val="4CA67EBD"/>
    <w:rsid w:val="4E384CC1"/>
    <w:rsid w:val="501A04F7"/>
    <w:rsid w:val="50665347"/>
    <w:rsid w:val="52292489"/>
    <w:rsid w:val="53FC752F"/>
    <w:rsid w:val="544B5250"/>
    <w:rsid w:val="552119FE"/>
    <w:rsid w:val="553B2720"/>
    <w:rsid w:val="55543E6D"/>
    <w:rsid w:val="558B5151"/>
    <w:rsid w:val="56333651"/>
    <w:rsid w:val="565F4DAF"/>
    <w:rsid w:val="59164480"/>
    <w:rsid w:val="59172A8B"/>
    <w:rsid w:val="59E73D0F"/>
    <w:rsid w:val="5AAB2EB7"/>
    <w:rsid w:val="5B4F0B6D"/>
    <w:rsid w:val="5C7224D4"/>
    <w:rsid w:val="5CC500D5"/>
    <w:rsid w:val="5D3C0008"/>
    <w:rsid w:val="5D8D0311"/>
    <w:rsid w:val="619E3FDC"/>
    <w:rsid w:val="62B82B70"/>
    <w:rsid w:val="62FC5BEA"/>
    <w:rsid w:val="63553755"/>
    <w:rsid w:val="65363993"/>
    <w:rsid w:val="65EE47FE"/>
    <w:rsid w:val="68204DEF"/>
    <w:rsid w:val="6A363E29"/>
    <w:rsid w:val="6AF63681"/>
    <w:rsid w:val="6B9A16B0"/>
    <w:rsid w:val="6CB048A0"/>
    <w:rsid w:val="6CCB525D"/>
    <w:rsid w:val="6DC07CDE"/>
    <w:rsid w:val="6DCC23AA"/>
    <w:rsid w:val="6F8F2F0D"/>
    <w:rsid w:val="6FE25890"/>
    <w:rsid w:val="72957277"/>
    <w:rsid w:val="731C3B6A"/>
    <w:rsid w:val="738B5D29"/>
    <w:rsid w:val="745C77EE"/>
    <w:rsid w:val="75432F8E"/>
    <w:rsid w:val="76B05F1C"/>
    <w:rsid w:val="78B63E15"/>
    <w:rsid w:val="79E92285"/>
    <w:rsid w:val="7ABB26A0"/>
    <w:rsid w:val="7AC30ADF"/>
    <w:rsid w:val="7AD0697F"/>
    <w:rsid w:val="7B110987"/>
    <w:rsid w:val="7BD625F3"/>
    <w:rsid w:val="7CD84779"/>
    <w:rsid w:val="7FD82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pPr>
    <w:rPr>
      <w:rFonts w:ascii="Calibri"/>
    </w:rPr>
  </w:style>
  <w:style w:type="paragraph" w:styleId="3">
    <w:name w:val="Body Text Indent"/>
    <w:basedOn w:val="1"/>
    <w:autoRedefine/>
    <w:qFormat/>
    <w:uiPriority w:val="99"/>
    <w:pPr>
      <w:widowControl/>
      <w:overflowPunct w:val="0"/>
      <w:autoSpaceDE w:val="0"/>
      <w:autoSpaceDN w:val="0"/>
      <w:adjustRightInd w:val="0"/>
      <w:spacing w:line="360" w:lineRule="auto"/>
      <w:ind w:firstLine="540"/>
    </w:pPr>
    <w:rPr>
      <w:rFonts w:ascii="宋体" w:hAnsi="MS Sans Serif"/>
      <w:spacing w:val="12"/>
      <w:kern w:val="0"/>
      <w:sz w:val="20"/>
      <w:szCs w:val="20"/>
      <w:lang w:val="zh-CN"/>
    </w:rPr>
  </w:style>
  <w:style w:type="paragraph" w:styleId="4">
    <w:name w:val="annotation text"/>
    <w:basedOn w:val="1"/>
    <w:autoRedefine/>
    <w:qFormat/>
    <w:uiPriority w:val="0"/>
    <w:pPr>
      <w:jc w:val="left"/>
    </w:pPr>
  </w:style>
  <w:style w:type="paragraph" w:styleId="5">
    <w:name w:val="Body Text"/>
    <w:basedOn w:val="1"/>
    <w:next w:val="6"/>
    <w:autoRedefine/>
    <w:qFormat/>
    <w:uiPriority w:val="1"/>
    <w:pPr>
      <w:ind w:left="163"/>
    </w:pPr>
    <w:rPr>
      <w:rFonts w:ascii="宋体" w:hAnsi="宋体" w:eastAsia="宋体" w:cs="宋体"/>
      <w:sz w:val="16"/>
      <w:szCs w:val="16"/>
      <w:lang w:val="zh-CN" w:eastAsia="zh-CN" w:bidi="zh-CN"/>
    </w:rPr>
  </w:style>
  <w:style w:type="paragraph" w:styleId="6">
    <w:name w:val="List Paragraph"/>
    <w:basedOn w:val="1"/>
    <w:next w:val="1"/>
    <w:autoRedefine/>
    <w:qFormat/>
    <w:uiPriority w:val="34"/>
    <w:pPr>
      <w:ind w:firstLine="420" w:firstLineChars="200"/>
    </w:pPr>
  </w:style>
  <w:style w:type="paragraph" w:styleId="7">
    <w:name w:val="Body Text Indent 2"/>
    <w:basedOn w:val="1"/>
    <w:autoRedefine/>
    <w:qFormat/>
    <w:uiPriority w:val="0"/>
    <w:pPr>
      <w:spacing w:after="120" w:afterLines="0" w:line="480" w:lineRule="auto"/>
      <w:ind w:left="420" w:leftChars="200"/>
    </w:pPr>
  </w:style>
  <w:style w:type="paragraph" w:styleId="8">
    <w:name w:val="footer"/>
    <w:basedOn w:val="1"/>
    <w:link w:val="16"/>
    <w:autoRedefine/>
    <w:qFormat/>
    <w:uiPriority w:val="0"/>
    <w:pPr>
      <w:tabs>
        <w:tab w:val="center" w:pos="4153"/>
        <w:tab w:val="right" w:pos="8306"/>
      </w:tabs>
      <w:snapToGrid w:val="0"/>
      <w:jc w:val="left"/>
    </w:pPr>
    <w:rPr>
      <w:sz w:val="18"/>
      <w:szCs w:val="18"/>
    </w:rPr>
  </w:style>
  <w:style w:type="paragraph" w:styleId="9">
    <w:name w:val="envelope return"/>
    <w:basedOn w:val="1"/>
    <w:autoRedefine/>
    <w:unhideWhenUsed/>
    <w:qFormat/>
    <w:uiPriority w:val="99"/>
    <w:pPr>
      <w:snapToGrid w:val="0"/>
    </w:pPr>
    <w:rPr>
      <w:rFonts w:ascii="Arial" w:hAnsi="Arial"/>
    </w:rPr>
  </w:style>
  <w:style w:type="paragraph" w:styleId="10">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table" w:styleId="12">
    <w:name w:val="Table Grid"/>
    <w:basedOn w:val="1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样式 样式 行距: 1.5 倍行距 + 两端对齐 Char"/>
    <w:basedOn w:val="1"/>
    <w:autoRedefine/>
    <w:qFormat/>
    <w:uiPriority w:val="99"/>
    <w:pPr>
      <w:tabs>
        <w:tab w:val="left" w:pos="720"/>
      </w:tabs>
      <w:adjustRightInd w:val="0"/>
      <w:snapToGrid w:val="0"/>
      <w:ind w:firstLine="480" w:firstLineChars="200"/>
    </w:pPr>
    <w:rPr>
      <w:rFonts w:ascii="宋体" w:hAnsi="宋体" w:cs="宋体"/>
      <w:sz w:val="24"/>
    </w:rPr>
  </w:style>
  <w:style w:type="character" w:customStyle="1" w:styleId="15">
    <w:name w:val="页眉 Char"/>
    <w:basedOn w:val="13"/>
    <w:link w:val="10"/>
    <w:autoRedefine/>
    <w:qFormat/>
    <w:uiPriority w:val="0"/>
    <w:rPr>
      <w:rFonts w:asciiTheme="minorHAnsi" w:hAnsiTheme="minorHAnsi" w:eastAsiaTheme="minorEastAsia" w:cstheme="minorBidi"/>
      <w:kern w:val="2"/>
      <w:sz w:val="18"/>
      <w:szCs w:val="18"/>
    </w:rPr>
  </w:style>
  <w:style w:type="character" w:customStyle="1" w:styleId="16">
    <w:name w:val="页脚 Char"/>
    <w:basedOn w:val="13"/>
    <w:link w:val="8"/>
    <w:autoRedefine/>
    <w:qFormat/>
    <w:uiPriority w:val="0"/>
    <w:rPr>
      <w:rFonts w:asciiTheme="minorHAnsi" w:hAnsiTheme="minorHAnsi" w:eastAsiaTheme="minorEastAsia" w:cstheme="minorBidi"/>
      <w:kern w:val="2"/>
      <w:sz w:val="18"/>
      <w:szCs w:val="18"/>
    </w:rPr>
  </w:style>
  <w:style w:type="table" w:customStyle="1" w:styleId="1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1257</Words>
  <Characters>1299</Characters>
  <Lines>24</Lines>
  <Paragraphs>6</Paragraphs>
  <TotalTime>35</TotalTime>
  <ScaleCrop>false</ScaleCrop>
  <LinksUpToDate>false</LinksUpToDate>
  <CharactersWithSpaces>1314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2019-02-28T01:35:00Z</dcterms:created>
  <dc:creator>马云飞</dc:creator>
  <cp:lastModifiedBy>王娜</cp:lastModifiedBy>
  <dcterms:modified xsi:type="dcterms:W3CDTF">2026-06-15T09:13:54Z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40C64BBA764642CE8299F8ED926A325F_13</vt:lpwstr>
  </property>
  <property fmtid="{D5CDD505-2E9C-101B-9397-08002B2CF9AE}" pid="4" name="KSOTemplateDocerSaveRecord">
    <vt:lpwstr>eyJoZGlkIjoiZmY2OTk0NWM2NWYzZTIzY2Q0ZjE5ZmE3MDlmNmZhZGEiLCJ1c2VySWQiOiIyNTg3ODY5NzQifQ==</vt:lpwstr>
  </property>
</Properties>
</file>