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CA05">
      <w:pPr>
        <w:snapToGrid w:val="0"/>
        <w:spacing w:line="240" w:lineRule="atLeast"/>
        <w:ind w:right="2" w:rightChars="1"/>
        <w:jc w:val="center"/>
        <w:rPr>
          <w:rFonts w:hint="eastAsia" w:ascii="宋体" w:hAnsi="宋体" w:cs="宋体"/>
          <w:b/>
          <w:bCs/>
          <w:sz w:val="44"/>
          <w:szCs w:val="44"/>
          <w:highlight w:val="none"/>
        </w:rPr>
      </w:pPr>
    </w:p>
    <w:p w14:paraId="2A4631C9">
      <w:pPr>
        <w:snapToGrid w:val="0"/>
        <w:spacing w:line="240" w:lineRule="atLeast"/>
        <w:ind w:right="2" w:rightChars="1"/>
        <w:jc w:val="center"/>
        <w:rPr>
          <w:rFonts w:hint="eastAsia" w:ascii="宋体" w:hAnsi="宋体" w:cs="宋体"/>
          <w:b/>
          <w:bCs/>
          <w:sz w:val="44"/>
          <w:szCs w:val="44"/>
          <w:highlight w:val="none"/>
        </w:rPr>
      </w:pPr>
    </w:p>
    <w:p w14:paraId="00E0F5BD">
      <w:pPr>
        <w:snapToGrid w:val="0"/>
        <w:spacing w:line="240" w:lineRule="atLeast"/>
        <w:ind w:right="2" w:rightChars="1"/>
        <w:jc w:val="center"/>
        <w:rPr>
          <w:rFonts w:hint="eastAsia" w:ascii="宋体" w:hAnsi="宋体" w:cs="宋体"/>
          <w:b/>
          <w:bCs/>
          <w:sz w:val="44"/>
          <w:szCs w:val="44"/>
          <w:highlight w:val="none"/>
        </w:rPr>
      </w:pPr>
    </w:p>
    <w:p w14:paraId="179AC207">
      <w:pPr>
        <w:snapToGrid w:val="0"/>
        <w:spacing w:line="240" w:lineRule="atLeast"/>
        <w:ind w:right="2" w:rightChars="1"/>
        <w:jc w:val="center"/>
        <w:rPr>
          <w:rFonts w:hint="eastAsia" w:ascii="宋体" w:hAnsi="宋体"/>
          <w:sz w:val="44"/>
          <w:szCs w:val="44"/>
          <w:highlight w:val="none"/>
        </w:rPr>
      </w:pPr>
      <w:r>
        <w:rPr>
          <w:rFonts w:hint="eastAsia" w:ascii="宋体" w:hAnsi="宋体" w:cs="宋体"/>
          <w:b/>
          <w:bCs/>
          <w:sz w:val="44"/>
          <w:szCs w:val="44"/>
          <w:highlight w:val="none"/>
        </w:rPr>
        <w:t>酒泉钢铁（集团）宏兴股份公司</w:t>
      </w:r>
    </w:p>
    <w:p w14:paraId="6CAB9A9C">
      <w:pPr>
        <w:snapToGrid w:val="0"/>
        <w:spacing w:line="240" w:lineRule="atLeast"/>
        <w:ind w:right="2" w:rightChars="1"/>
        <w:jc w:val="center"/>
        <w:rPr>
          <w:rFonts w:hint="eastAsia" w:ascii="宋体" w:hAnsi="宋体"/>
          <w:sz w:val="44"/>
          <w:szCs w:val="44"/>
          <w:highlight w:val="none"/>
        </w:rPr>
      </w:pPr>
      <w:r>
        <w:rPr>
          <w:rFonts w:hint="eastAsia" w:ascii="宋体" w:hAnsi="宋体"/>
          <w:sz w:val="44"/>
          <w:szCs w:val="44"/>
          <w:highlight w:val="none"/>
        </w:rPr>
        <w:t>（</w:t>
      </w:r>
      <w:r>
        <w:rPr>
          <w:rFonts w:hint="eastAsia" w:hAnsi="宋体" w:eastAsia="宋体"/>
          <w:sz w:val="44"/>
          <w:szCs w:val="44"/>
          <w:highlight w:val="none"/>
          <w:lang w:eastAsia="zh-CN"/>
        </w:rPr>
        <w:t>石灰消化机\</w:t>
      </w:r>
      <w:r>
        <w:rPr>
          <w:rFonts w:hint="eastAsia" w:hAnsi="宋体" w:eastAsia="宋体"/>
          <w:sz w:val="44"/>
          <w:szCs w:val="44"/>
          <w:highlight w:val="none"/>
          <w:lang w:val="en-US" w:eastAsia="zh-CN"/>
        </w:rPr>
        <w:t>XHQ10-1500</w:t>
      </w:r>
      <w:r>
        <w:rPr>
          <w:rFonts w:hint="eastAsia" w:hAnsi="宋体" w:eastAsia="宋体"/>
          <w:sz w:val="40"/>
          <w:szCs w:val="40"/>
          <w:lang w:eastAsia="zh-CN"/>
        </w:rPr>
        <w:t>）</w:t>
      </w:r>
    </w:p>
    <w:p w14:paraId="6968CA98">
      <w:pPr>
        <w:snapToGrid w:val="0"/>
        <w:spacing w:line="240" w:lineRule="atLeast"/>
        <w:ind w:right="2" w:rightChars="1"/>
        <w:jc w:val="center"/>
        <w:rPr>
          <w:rFonts w:hint="eastAsia" w:ascii="宋体" w:hAnsi="宋体" w:eastAsia="宋体"/>
          <w:sz w:val="44"/>
          <w:szCs w:val="44"/>
          <w:highlight w:val="none"/>
          <w:lang w:eastAsia="zh-CN"/>
        </w:rPr>
      </w:pPr>
      <w:r>
        <w:rPr>
          <w:rFonts w:hint="eastAsia" w:ascii="宋体" w:hAnsi="宋体"/>
          <w:sz w:val="44"/>
          <w:szCs w:val="44"/>
          <w:highlight w:val="none"/>
        </w:rPr>
        <w:t>技术</w:t>
      </w:r>
      <w:r>
        <w:rPr>
          <w:rFonts w:hint="eastAsia" w:hAnsi="宋体" w:eastAsia="宋体"/>
          <w:sz w:val="44"/>
          <w:szCs w:val="44"/>
          <w:highlight w:val="none"/>
          <w:lang w:eastAsia="zh-CN"/>
        </w:rPr>
        <w:t>规格书</w:t>
      </w:r>
    </w:p>
    <w:p w14:paraId="599DB0D3">
      <w:pPr>
        <w:rPr>
          <w:rFonts w:hint="eastAsia" w:ascii="宋体" w:hAnsi="宋体"/>
          <w:b/>
          <w:bCs/>
          <w:sz w:val="32"/>
          <w:highlight w:val="none"/>
        </w:rPr>
      </w:pPr>
    </w:p>
    <w:p w14:paraId="4B64738D">
      <w:pPr>
        <w:rPr>
          <w:rFonts w:hint="eastAsia" w:ascii="宋体" w:hAnsi="宋体"/>
          <w:b/>
          <w:bCs/>
          <w:sz w:val="32"/>
          <w:highlight w:val="none"/>
        </w:rPr>
      </w:pPr>
    </w:p>
    <w:p w14:paraId="74C365B3">
      <w:pPr>
        <w:rPr>
          <w:rFonts w:hint="eastAsia" w:ascii="宋体" w:hAnsi="宋体"/>
          <w:b/>
          <w:bCs/>
          <w:sz w:val="32"/>
          <w:highlight w:val="none"/>
        </w:rPr>
      </w:pPr>
    </w:p>
    <w:p w14:paraId="6D81374B">
      <w:pPr>
        <w:rPr>
          <w:rFonts w:hint="eastAsia" w:ascii="宋体" w:hAnsi="宋体"/>
          <w:b/>
          <w:bCs/>
          <w:sz w:val="32"/>
          <w:highlight w:val="none"/>
        </w:rPr>
      </w:pPr>
    </w:p>
    <w:p w14:paraId="49C8D6F5">
      <w:pPr>
        <w:rPr>
          <w:rFonts w:hint="eastAsia" w:ascii="宋体" w:hAnsi="宋体"/>
          <w:b/>
          <w:bCs/>
          <w:sz w:val="32"/>
          <w:highlight w:val="none"/>
        </w:rPr>
      </w:pPr>
    </w:p>
    <w:p w14:paraId="34767B15">
      <w:pPr>
        <w:rPr>
          <w:rFonts w:hint="eastAsia" w:ascii="宋体" w:hAnsi="宋体"/>
          <w:b/>
          <w:bCs/>
          <w:sz w:val="32"/>
          <w:highlight w:val="none"/>
        </w:rPr>
      </w:pPr>
    </w:p>
    <w:p w14:paraId="63C448D5">
      <w:pPr>
        <w:rPr>
          <w:rFonts w:hint="eastAsia" w:ascii="宋体" w:hAnsi="宋体"/>
          <w:b/>
          <w:bCs/>
          <w:sz w:val="32"/>
          <w:highlight w:val="none"/>
        </w:rPr>
      </w:pPr>
    </w:p>
    <w:p w14:paraId="06BBB8ED">
      <w:pPr>
        <w:rPr>
          <w:rFonts w:hint="eastAsia" w:ascii="宋体" w:hAnsi="宋体"/>
          <w:b/>
          <w:bCs/>
          <w:sz w:val="32"/>
          <w:highlight w:val="none"/>
        </w:rPr>
      </w:pPr>
    </w:p>
    <w:p w14:paraId="077E32D1">
      <w:pPr>
        <w:rPr>
          <w:rFonts w:hint="eastAsia" w:ascii="宋体" w:hAnsi="宋体"/>
          <w:b/>
          <w:bCs/>
          <w:sz w:val="32"/>
          <w:highlight w:val="none"/>
        </w:rPr>
      </w:pPr>
    </w:p>
    <w:p w14:paraId="37278987">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24EFC7F7">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甲  方：酒泉钢铁（集团）宏兴股份公司动力厂</w:t>
      </w:r>
    </w:p>
    <w:p w14:paraId="13085AAC">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乙  方：</w:t>
      </w:r>
    </w:p>
    <w:p w14:paraId="248F70C4">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334CF8BA">
      <w:pPr>
        <w:rPr>
          <w:highlight w:val="none"/>
        </w:rPr>
      </w:pPr>
    </w:p>
    <w:p w14:paraId="437BDA27">
      <w:pPr>
        <w:rPr>
          <w:highlight w:val="none"/>
        </w:rPr>
      </w:pPr>
    </w:p>
    <w:p w14:paraId="02E06732">
      <w:pPr>
        <w:rPr>
          <w:highlight w:val="none"/>
        </w:rPr>
      </w:pPr>
    </w:p>
    <w:p w14:paraId="0F8FCA2C">
      <w:pPr>
        <w:rPr>
          <w:highlight w:val="none"/>
        </w:rPr>
      </w:pPr>
    </w:p>
    <w:p w14:paraId="57018322">
      <w:pPr>
        <w:rPr>
          <w:highlight w:val="none"/>
        </w:rPr>
      </w:pPr>
    </w:p>
    <w:p w14:paraId="4AD365D1">
      <w:pPr>
        <w:rPr>
          <w:highlight w:val="none"/>
        </w:rPr>
      </w:pPr>
    </w:p>
    <w:p w14:paraId="71AE3142">
      <w:pPr>
        <w:rPr>
          <w:highlight w:val="none"/>
        </w:rPr>
      </w:pPr>
    </w:p>
    <w:p w14:paraId="40AE00D8">
      <w:pPr>
        <w:spacing w:line="460" w:lineRule="exact"/>
        <w:jc w:val="center"/>
        <w:rPr>
          <w:rFonts w:hint="eastAsia" w:eastAsia="宋体"/>
          <w:b/>
          <w:sz w:val="36"/>
          <w:highlight w:val="none"/>
          <w:lang w:val="en-US" w:eastAsia="zh-CN"/>
        </w:rPr>
      </w:pPr>
      <w:r>
        <w:rPr>
          <w:rFonts w:hint="eastAsia" w:eastAsia="宋体"/>
          <w:b/>
          <w:sz w:val="36"/>
          <w:highlight w:val="none"/>
          <w:lang w:val="en-US" w:eastAsia="zh-CN"/>
        </w:rPr>
        <w:t xml:space="preserve"> </w:t>
      </w:r>
    </w:p>
    <w:p w14:paraId="3E8078C8">
      <w:pPr>
        <w:spacing w:line="460" w:lineRule="exact"/>
        <w:jc w:val="center"/>
        <w:rPr>
          <w:rFonts w:hint="eastAsia" w:eastAsia="宋体"/>
          <w:b/>
          <w:sz w:val="36"/>
          <w:highlight w:val="none"/>
          <w:lang w:val="en-US" w:eastAsia="zh-CN"/>
        </w:rPr>
      </w:pPr>
    </w:p>
    <w:p w14:paraId="6B7CA824">
      <w:pPr>
        <w:spacing w:line="460" w:lineRule="exact"/>
        <w:jc w:val="center"/>
        <w:rPr>
          <w:rFonts w:hint="eastAsia" w:eastAsia="宋体"/>
          <w:b/>
          <w:sz w:val="36"/>
          <w:highlight w:val="none"/>
          <w:lang w:val="en-US" w:eastAsia="zh-CN"/>
        </w:rPr>
      </w:pPr>
    </w:p>
    <w:p w14:paraId="2C392835">
      <w:pPr>
        <w:spacing w:line="460" w:lineRule="exact"/>
        <w:jc w:val="center"/>
        <w:rPr>
          <w:rFonts w:hint="eastAsia" w:eastAsia="宋体"/>
          <w:b/>
          <w:sz w:val="36"/>
          <w:highlight w:val="none"/>
          <w:lang w:val="en-US" w:eastAsia="zh-CN"/>
        </w:rPr>
      </w:pPr>
    </w:p>
    <w:p w14:paraId="7B0F94CA">
      <w:pPr>
        <w:spacing w:line="460" w:lineRule="exact"/>
        <w:jc w:val="center"/>
        <w:rPr>
          <w:rFonts w:hint="eastAsia" w:eastAsia="宋体"/>
          <w:b/>
          <w:sz w:val="36"/>
          <w:highlight w:val="none"/>
          <w:lang w:val="en-US" w:eastAsia="zh-CN"/>
        </w:rPr>
      </w:pPr>
    </w:p>
    <w:p w14:paraId="15C5DEF1">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14:paraId="4102A284">
      <w:pPr>
        <w:spacing w:line="460" w:lineRule="exact"/>
        <w:ind w:firstLine="3791"/>
        <w:rPr>
          <w:rFonts w:hint="eastAsia" w:ascii="仿宋_GB2312" w:hAnsi="仿宋_GB2312" w:eastAsia="仿宋_GB2312" w:cs="仿宋_GB2312"/>
          <w:b/>
          <w:sz w:val="30"/>
          <w:szCs w:val="30"/>
          <w:highlight w:val="none"/>
        </w:rPr>
      </w:pPr>
    </w:p>
    <w:p w14:paraId="032D15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US" w:eastAsia="zh-CN"/>
        </w:rPr>
        <w:t>一、总则</w:t>
      </w:r>
    </w:p>
    <w:p w14:paraId="3AE91E9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GB" w:eastAsia="zh-CN"/>
        </w:rPr>
        <w:t>二、供货范围及设备参数</w:t>
      </w:r>
    </w:p>
    <w:p w14:paraId="7660AB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三、制造技术要求</w:t>
      </w:r>
    </w:p>
    <w:p w14:paraId="515ED1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四、</w:t>
      </w:r>
      <w:r>
        <w:rPr>
          <w:rFonts w:hint="eastAsia" w:ascii="仿宋_GB2312" w:hAnsi="仿宋_GB2312" w:eastAsia="仿宋_GB2312" w:cs="仿宋_GB2312"/>
          <w:b w:val="0"/>
          <w:bCs w:val="0"/>
          <w:kern w:val="2"/>
          <w:sz w:val="32"/>
          <w:szCs w:val="32"/>
          <w:lang w:val="en-GB" w:eastAsia="zh-CN"/>
        </w:rPr>
        <w:t>验收及技术服务：</w:t>
      </w:r>
    </w:p>
    <w:p w14:paraId="62B1F1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五、提供资料</w:t>
      </w:r>
    </w:p>
    <w:p w14:paraId="6AFCB5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六、交货时间及地点</w:t>
      </w:r>
    </w:p>
    <w:p w14:paraId="024F46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七、其他</w:t>
      </w:r>
    </w:p>
    <w:p w14:paraId="4CC2B32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14:paraId="6C157504">
      <w:pPr>
        <w:pStyle w:val="4"/>
        <w:rPr>
          <w:rFonts w:hint="eastAsia"/>
          <w:highlight w:val="none"/>
          <w:lang w:val="en-US" w:eastAsia="zh-CN"/>
        </w:rPr>
      </w:pPr>
    </w:p>
    <w:p w14:paraId="5A2AAB16">
      <w:pPr>
        <w:pStyle w:val="4"/>
        <w:rPr>
          <w:rFonts w:hint="eastAsia"/>
          <w:highlight w:val="none"/>
          <w:lang w:val="en-US" w:eastAsia="zh-CN"/>
        </w:rPr>
      </w:pPr>
    </w:p>
    <w:p w14:paraId="2E99E419">
      <w:pPr>
        <w:pStyle w:val="4"/>
        <w:rPr>
          <w:rFonts w:hint="eastAsia"/>
          <w:highlight w:val="none"/>
          <w:lang w:val="en-US" w:eastAsia="zh-CN"/>
        </w:rPr>
      </w:pPr>
    </w:p>
    <w:p w14:paraId="296CEF0B">
      <w:pPr>
        <w:pStyle w:val="4"/>
        <w:rPr>
          <w:rFonts w:hint="eastAsia"/>
          <w:highlight w:val="none"/>
          <w:lang w:val="en-US" w:eastAsia="zh-CN"/>
        </w:rPr>
      </w:pPr>
    </w:p>
    <w:p w14:paraId="66049F42">
      <w:pPr>
        <w:pStyle w:val="4"/>
        <w:rPr>
          <w:rFonts w:hint="eastAsia"/>
          <w:highlight w:val="none"/>
          <w:lang w:val="en-US" w:eastAsia="zh-CN"/>
        </w:rPr>
      </w:pPr>
    </w:p>
    <w:p w14:paraId="1992A37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5F138BE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20FC041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0F36ABA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23C4AD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甘肃酒钢集团宏兴钢铁股份有限公司动力厂</w:t>
      </w:r>
      <w:r>
        <w:rPr>
          <w:rFonts w:hint="eastAsia" w:ascii="仿宋_GB2312" w:hAnsi="仿宋_GB2312" w:eastAsia="仿宋_GB2312" w:cs="仿宋_GB2312"/>
          <w:b w:val="0"/>
          <w:bCs w:val="0"/>
          <w:kern w:val="2"/>
          <w:sz w:val="32"/>
          <w:szCs w:val="32"/>
          <w:highlight w:val="none"/>
          <w:lang w:val="en-GB" w:eastAsia="zh-CN"/>
        </w:rPr>
        <w:t>（以下称甲方）与</w:t>
      </w:r>
      <w:r>
        <w:rPr>
          <w:rFonts w:hint="eastAsia" w:ascii="仿宋_GB2312" w:hAnsi="仿宋_GB2312" w:eastAsia="仿宋_GB2312" w:cs="仿宋_GB2312"/>
          <w:b w:val="0"/>
          <w:bCs w:val="0"/>
          <w:kern w:val="2"/>
          <w:sz w:val="32"/>
          <w:szCs w:val="32"/>
          <w:highlight w:val="none"/>
          <w:u w:val="single"/>
          <w:lang w:val="en-US" w:eastAsia="zh-CN"/>
        </w:rPr>
        <w:t xml:space="preserve">                      </w:t>
      </w:r>
      <w:r>
        <w:rPr>
          <w:rFonts w:hint="eastAsia" w:ascii="仿宋_GB2312" w:hAnsi="仿宋_GB2312" w:eastAsia="仿宋_GB2312" w:cs="仿宋_GB2312"/>
          <w:b w:val="0"/>
          <w:bCs w:val="0"/>
          <w:kern w:val="2"/>
          <w:sz w:val="32"/>
          <w:szCs w:val="32"/>
          <w:highlight w:val="none"/>
          <w:lang w:val="en-GB" w:eastAsia="zh-CN"/>
        </w:rPr>
        <w:t>（以下称乙方）就甲方石灰消化机\</w:t>
      </w:r>
      <w:r>
        <w:rPr>
          <w:rFonts w:hint="eastAsia" w:ascii="仿宋_GB2312" w:hAnsi="仿宋_GB2312" w:eastAsia="仿宋_GB2312" w:cs="仿宋_GB2312"/>
          <w:b w:val="0"/>
          <w:bCs w:val="0"/>
          <w:kern w:val="2"/>
          <w:sz w:val="32"/>
          <w:szCs w:val="32"/>
          <w:highlight w:val="none"/>
          <w:lang w:val="en-US" w:eastAsia="zh-CN"/>
        </w:rPr>
        <w:t>石灰消化机\XHQ10-1500 10 双轴</w:t>
      </w:r>
      <w:r>
        <w:rPr>
          <w:rFonts w:hint="eastAsia" w:ascii="仿宋_GB2312" w:hAnsi="仿宋_GB2312" w:eastAsia="仿宋_GB2312" w:cs="仿宋_GB2312"/>
          <w:b w:val="0"/>
          <w:bCs w:val="0"/>
          <w:kern w:val="2"/>
          <w:sz w:val="32"/>
          <w:szCs w:val="32"/>
          <w:highlight w:val="none"/>
          <w:lang w:val="en-GB" w:eastAsia="zh-CN"/>
        </w:rPr>
        <w:t>采购经双方协商，达成如下技术协议：</w:t>
      </w:r>
    </w:p>
    <w:p w14:paraId="37F1E496">
      <w:pPr>
        <w:pStyle w:val="4"/>
        <w:ind w:left="0" w:leftChars="0" w:firstLine="0" w:firstLineChars="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bookmarkStart w:id="0" w:name="_GoBack"/>
      <w:bookmarkEnd w:id="0"/>
    </w:p>
    <w:p w14:paraId="37096B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本技术规格书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14:paraId="36F27E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本技术规格书提出的是最低限度的技术要求，并未对一切技术要求作出详细规定，也未充分引述有关标准及规范的条文。乙方应保证提供符合本规范书和相关的国际、国内工业标准的高质量产品及其相应服务，对国家有关安全、环保等强制性标准，必须满足其要求。</w:t>
      </w:r>
    </w:p>
    <w:p w14:paraId="468493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3.乙方提供的设备应是成熟可靠、技术先进的产品，在钢铁行业机组有2家及以上运行超过3年，已证明安全可靠的优质产品。</w:t>
      </w:r>
    </w:p>
    <w:p w14:paraId="38BAF6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4.对于国家明令禁止使用的和已淘汰的产品和设备，一律不准在本工程中使用。</w:t>
      </w:r>
    </w:p>
    <w:p w14:paraId="6B67CB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5.若乙方所提供的投标文件前后有不一致的地方，应以更有利于设备安装运行、工程质量为原则，由甲方确定。</w:t>
      </w:r>
    </w:p>
    <w:p w14:paraId="095E07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6.乙方应按技术规格书中顺序逐条应答，如对本技术规范书有偏差（无论多少）都必须清楚地标示在本技术规范书中的 “差异表”中。否则将认为乙方提供的设备完全符合本技术规范书和标准的要求。</w:t>
      </w:r>
    </w:p>
    <w:p w14:paraId="4A966A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7. 本技术规格书所引用的标准若与乙方所执行的标准发生矛盾时，按较高的标准执行。乙方在设备设计和制造中所涉及的各项规程、规范和标准必须遵循现行最新标准版本。</w:t>
      </w:r>
    </w:p>
    <w:p w14:paraId="1ECE9A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8.乙方对所提供的全套系统设备（含辅助系统与设备）负有全责，即包括分包（或采购）的产品。分包（或采购）的产品乙方提出三个厂家供甲方确认，分包（或采购）的产品制造商应按甲方的要求进行，并按最高价计入总价。</w:t>
      </w:r>
    </w:p>
    <w:p w14:paraId="2B4529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9.在合同签订后，甲方有权因规范、标准、规程发生变化而提出一些补充要求。在设备投料生产前，乙方应在设计上给予修改，具体项目由供需双方共同商定。</w:t>
      </w:r>
    </w:p>
    <w:p w14:paraId="6AE02A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10. 在合同签订15天内，按本技术协议的要求，乙方提出合同设备的设计、制造、检验/试验、装配、安装、调试、试运、验收、试验、运行和维护等标准清单给甲方，供甲方确认。</w:t>
      </w:r>
    </w:p>
    <w:p w14:paraId="5AC873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11.乙方在合同货物制造中，发生侵犯专利的行为时其侵权责任与甲方无关。</w:t>
      </w:r>
    </w:p>
    <w:p w14:paraId="690132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12.乙方须对石灰消化机设计的完整性、合理性和设计质量承担全部责任。</w:t>
      </w:r>
    </w:p>
    <w:p w14:paraId="10EFA877">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二、供货范围及设备参数</w:t>
      </w:r>
    </w:p>
    <w:p w14:paraId="3B13D1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GB" w:eastAsia="zh-CN"/>
        </w:rPr>
      </w:pPr>
      <w:r>
        <w:rPr>
          <w:rFonts w:hint="eastAsia" w:ascii="仿宋_GB2312" w:hAnsi="仿宋_GB2312" w:eastAsia="仿宋_GB2312" w:cs="仿宋_GB2312"/>
          <w:b w:val="0"/>
          <w:bCs w:val="0"/>
          <w:kern w:val="2"/>
          <w:sz w:val="32"/>
          <w:szCs w:val="32"/>
          <w:highlight w:val="none"/>
          <w:lang w:val="en-US" w:eastAsia="zh-CN"/>
        </w:rPr>
        <w:t>1.供货范围</w:t>
      </w:r>
    </w:p>
    <w:tbl>
      <w:tblPr>
        <w:tblStyle w:val="5"/>
        <w:tblW w:w="8529" w:type="dxa"/>
        <w:tblInd w:w="0" w:type="dxa"/>
        <w:tblLayout w:type="fixed"/>
        <w:tblCellMar>
          <w:top w:w="0" w:type="dxa"/>
          <w:left w:w="108" w:type="dxa"/>
          <w:bottom w:w="0" w:type="dxa"/>
          <w:right w:w="108" w:type="dxa"/>
        </w:tblCellMar>
      </w:tblPr>
      <w:tblGrid>
        <w:gridCol w:w="700"/>
        <w:gridCol w:w="1739"/>
        <w:gridCol w:w="2602"/>
        <w:gridCol w:w="1530"/>
        <w:gridCol w:w="1958"/>
      </w:tblGrid>
      <w:tr w14:paraId="3F9699C0">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14:paraId="3E419DB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序号</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BE038A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物料名称</w:t>
            </w:r>
          </w:p>
        </w:tc>
        <w:tc>
          <w:tcPr>
            <w:tcW w:w="2602" w:type="dxa"/>
            <w:tcBorders>
              <w:top w:val="single" w:color="auto" w:sz="4" w:space="0"/>
              <w:left w:val="single" w:color="auto" w:sz="4" w:space="0"/>
              <w:bottom w:val="single" w:color="auto" w:sz="4" w:space="0"/>
              <w:right w:val="single" w:color="auto" w:sz="4" w:space="0"/>
            </w:tcBorders>
            <w:noWrap w:val="0"/>
            <w:vAlign w:val="center"/>
          </w:tcPr>
          <w:p w14:paraId="7D692E4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规格型号</w:t>
            </w:r>
          </w:p>
        </w:tc>
        <w:tc>
          <w:tcPr>
            <w:tcW w:w="1530" w:type="dxa"/>
            <w:tcBorders>
              <w:top w:val="single" w:color="auto" w:sz="4" w:space="0"/>
              <w:left w:val="single" w:color="auto" w:sz="4" w:space="0"/>
              <w:bottom w:val="single" w:color="auto" w:sz="4" w:space="0"/>
              <w:right w:val="single" w:color="auto" w:sz="4" w:space="0"/>
            </w:tcBorders>
            <w:noWrap w:val="0"/>
            <w:vAlign w:val="center"/>
          </w:tcPr>
          <w:p w14:paraId="7DCE276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物料编码</w:t>
            </w:r>
          </w:p>
        </w:tc>
        <w:tc>
          <w:tcPr>
            <w:tcW w:w="1958" w:type="dxa"/>
            <w:tcBorders>
              <w:top w:val="single" w:color="auto" w:sz="4" w:space="0"/>
              <w:left w:val="single" w:color="auto" w:sz="4" w:space="0"/>
              <w:bottom w:val="single" w:color="auto" w:sz="4" w:space="0"/>
              <w:right w:val="single" w:color="auto" w:sz="4" w:space="0"/>
            </w:tcBorders>
            <w:noWrap w:val="0"/>
            <w:vAlign w:val="center"/>
          </w:tcPr>
          <w:p w14:paraId="2A249F0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数量</w:t>
            </w:r>
          </w:p>
        </w:tc>
      </w:tr>
      <w:tr w14:paraId="2EFBFDBF">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14:paraId="71C0B05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1B78150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石灰消化机</w:t>
            </w:r>
          </w:p>
        </w:tc>
        <w:tc>
          <w:tcPr>
            <w:tcW w:w="2602" w:type="dxa"/>
            <w:tcBorders>
              <w:top w:val="single" w:color="auto" w:sz="4" w:space="0"/>
              <w:left w:val="single" w:color="auto" w:sz="4" w:space="0"/>
              <w:bottom w:val="single" w:color="auto" w:sz="4" w:space="0"/>
              <w:right w:val="single" w:color="auto" w:sz="4" w:space="0"/>
            </w:tcBorders>
            <w:noWrap w:val="0"/>
            <w:vAlign w:val="center"/>
          </w:tcPr>
          <w:p w14:paraId="59BD31B4">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石灰消化机\XHQ10-1500 10 双轴</w:t>
            </w:r>
          </w:p>
        </w:tc>
        <w:tc>
          <w:tcPr>
            <w:tcW w:w="1530" w:type="dxa"/>
            <w:tcBorders>
              <w:top w:val="single" w:color="auto" w:sz="4" w:space="0"/>
              <w:left w:val="single" w:color="auto" w:sz="4" w:space="0"/>
              <w:bottom w:val="single" w:color="auto" w:sz="4" w:space="0"/>
              <w:right w:val="single" w:color="auto" w:sz="4" w:space="0"/>
            </w:tcBorders>
            <w:noWrap w:val="0"/>
            <w:vAlign w:val="center"/>
          </w:tcPr>
          <w:p w14:paraId="59C20DAA">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70453956</w:t>
            </w:r>
          </w:p>
        </w:tc>
        <w:tc>
          <w:tcPr>
            <w:tcW w:w="1958" w:type="dxa"/>
            <w:tcBorders>
              <w:top w:val="single" w:color="auto" w:sz="4" w:space="0"/>
              <w:left w:val="single" w:color="auto" w:sz="4" w:space="0"/>
              <w:bottom w:val="single" w:color="auto" w:sz="4" w:space="0"/>
              <w:right w:val="single" w:color="auto" w:sz="4" w:space="0"/>
            </w:tcBorders>
            <w:noWrap w:val="0"/>
            <w:vAlign w:val="center"/>
          </w:tcPr>
          <w:p w14:paraId="004E7BD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1台</w:t>
            </w:r>
          </w:p>
        </w:tc>
      </w:tr>
    </w:tbl>
    <w:p w14:paraId="5F5B853A">
      <w:pPr>
        <w:pStyle w:val="4"/>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2.设备参数</w:t>
      </w:r>
    </w:p>
    <w:tbl>
      <w:tblPr>
        <w:tblStyle w:val="5"/>
        <w:tblW w:w="8649" w:type="dxa"/>
        <w:jc w:val="center"/>
        <w:tblLayout w:type="fixed"/>
        <w:tblCellMar>
          <w:top w:w="0" w:type="dxa"/>
          <w:left w:w="0" w:type="dxa"/>
          <w:bottom w:w="0" w:type="dxa"/>
          <w:right w:w="0" w:type="dxa"/>
        </w:tblCellMar>
      </w:tblPr>
      <w:tblGrid>
        <w:gridCol w:w="1895"/>
        <w:gridCol w:w="4125"/>
        <w:gridCol w:w="2629"/>
      </w:tblGrid>
      <w:tr w14:paraId="2162EF9D">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9B4ECD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项    目</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EAA348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参数</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F5AD1C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14:paraId="5E653ED4">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11FC00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石灰消化机</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0457E6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双轴搅拌机</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CF583E5">
            <w:pPr>
              <w:keepNext w:val="0"/>
              <w:keepLines w:val="0"/>
              <w:pageBreakBefore w:val="0"/>
              <w:widowControl w:val="0"/>
              <w:kinsoku/>
              <w:wordWrap/>
              <w:overflowPunct/>
              <w:topLinePunct w:val="0"/>
              <w:autoSpaceDE/>
              <w:autoSpaceDN/>
              <w:bidi w:val="0"/>
              <w:adjustRightInd/>
              <w:snapToGrid/>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外观尺寸长不大于3.5米，宽不大于1米</w:t>
            </w:r>
          </w:p>
        </w:tc>
      </w:tr>
      <w:tr w14:paraId="568A0726">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5FB469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处理量</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7F3622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10m³/h（以粒径≤5mm生石灰为基准，处理量偏差≤±5%）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4E055F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容积≤3m³（确保体积紧凑，适配现场场地）</w:t>
            </w:r>
          </w:p>
        </w:tc>
      </w:tr>
      <w:tr w14:paraId="38A289C0">
        <w:tblPrEx>
          <w:tblCellMar>
            <w:top w:w="0" w:type="dxa"/>
            <w:left w:w="0" w:type="dxa"/>
            <w:bottom w:w="0" w:type="dxa"/>
            <w:right w:w="0" w:type="dxa"/>
          </w:tblCellMar>
        </w:tblPrEx>
        <w:trPr>
          <w:trHeight w:val="316"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BCB62F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sz w:val="24"/>
                <w:szCs w:val="24"/>
              </w:rPr>
              <w:t>进料粒度</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9BBD0B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生石灰粒径≤5mm，含水率≤5%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C0A8782">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进料口直径DN200</w:t>
            </w:r>
          </w:p>
        </w:tc>
      </w:tr>
      <w:tr w14:paraId="74FB542C">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3DC43B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sz w:val="24"/>
                <w:szCs w:val="24"/>
              </w:rPr>
              <w:t>出料要求</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94BBEB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消化后石灰乳浓度</w:t>
            </w:r>
            <w:r>
              <w:rPr>
                <w:rFonts w:hint="eastAsia" w:ascii="仿宋" w:hAnsi="仿宋" w:eastAsia="仿宋" w:cs="仿宋"/>
                <w:sz w:val="24"/>
                <w:szCs w:val="24"/>
                <w:lang w:eastAsia="zh-CN"/>
              </w:rPr>
              <w:t>10%～20%</w:t>
            </w:r>
            <w:r>
              <w:rPr>
                <w:rFonts w:hint="eastAsia" w:ascii="仿宋" w:hAnsi="仿宋" w:eastAsia="仿宋" w:cs="仿宋"/>
                <w:sz w:val="24"/>
                <w:szCs w:val="24"/>
              </w:rPr>
              <w:t>（可调节），无未消化生石灰颗粒（粒径≥1mm颗粒含量≤0.5%</w:t>
            </w:r>
            <w:r>
              <w:rPr>
                <w:rFonts w:hint="eastAsia" w:ascii="仿宋" w:hAnsi="仿宋" w:eastAsia="仿宋" w:cs="仿宋"/>
                <w:sz w:val="24"/>
                <w:szCs w:val="24"/>
                <w:lang w:eastAsia="zh-CN"/>
              </w:rPr>
              <w:t>）</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8FABFE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出料口直径DN150</w:t>
            </w:r>
          </w:p>
        </w:tc>
      </w:tr>
      <w:tr w14:paraId="0FAD5629">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EF6EB8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配水管</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03E01B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DN50</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C8A9DF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配水总管</w:t>
            </w:r>
          </w:p>
        </w:tc>
      </w:tr>
      <w:tr w14:paraId="74B8E213">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2FFFA9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配套功率</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670775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7.5kW</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F9C8DF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p>
        </w:tc>
      </w:tr>
      <w:tr w14:paraId="6AFBF3A8">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3100DE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消化率</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38CB4B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生石灰消化率</w:t>
            </w:r>
            <w:r>
              <w:rPr>
                <w:rFonts w:ascii="Arial" w:hAnsi="Arial" w:eastAsia="等线" w:cs="Arial"/>
                <w:sz w:val="22"/>
              </w:rPr>
              <w:t>≥95%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37D509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p>
        </w:tc>
      </w:tr>
    </w:tbl>
    <w:p w14:paraId="6EE34E45">
      <w:pPr>
        <w:pStyle w:val="4"/>
        <w:ind w:left="0" w:leftChars="0" w:firstLine="0" w:firstLineChars="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三、制造技术要求</w:t>
      </w:r>
    </w:p>
    <w:p w14:paraId="5C31A396">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1.设备安装位置：动力厂水二作业区</w:t>
      </w:r>
    </w:p>
    <w:p w14:paraId="67C6B21A">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2.工作介质或使用工况：石灰乳液，连续运行</w:t>
      </w:r>
    </w:p>
    <w:p w14:paraId="6F4214EE">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3.材质要求</w:t>
      </w:r>
    </w:p>
    <w:p w14:paraId="0F3B7669">
      <w:pPr>
        <w:pStyle w:val="4"/>
        <w:ind w:left="0" w:leftChars="0" w:firstLine="560" w:firstLineChars="200"/>
        <w:rPr>
          <w:rFonts w:hint="eastAsia" w:ascii="仿宋_GB2312" w:hAnsi="仿宋_GB2312" w:eastAsia="仿宋_GB2312" w:cs="仿宋_GB2312"/>
          <w:b w:val="0"/>
          <w:bCs w:val="0"/>
          <w:kern w:val="2"/>
          <w:sz w:val="28"/>
          <w:szCs w:val="28"/>
          <w:highlight w:val="none"/>
          <w:lang w:val="en-US" w:eastAsia="zh-CN"/>
        </w:rPr>
      </w:pPr>
      <w:r>
        <w:rPr>
          <w:rFonts w:hint="eastAsia" w:ascii="仿宋_GB2312" w:hAnsi="仿宋_GB2312" w:eastAsia="仿宋_GB2312" w:cs="仿宋_GB2312"/>
          <w:b w:val="0"/>
          <w:bCs w:val="0"/>
          <w:kern w:val="2"/>
          <w:sz w:val="28"/>
          <w:szCs w:val="28"/>
          <w:highlight w:val="none"/>
          <w:lang w:val="en-US" w:eastAsia="zh-CN"/>
        </w:rPr>
        <w:t>主要零部件材料表：</w:t>
      </w:r>
    </w:p>
    <w:tbl>
      <w:tblPr>
        <w:tblStyle w:val="5"/>
        <w:tblW w:w="0" w:type="auto"/>
        <w:jc w:val="center"/>
        <w:tblLayout w:type="fixed"/>
        <w:tblCellMar>
          <w:top w:w="0" w:type="dxa"/>
          <w:left w:w="108" w:type="dxa"/>
          <w:bottom w:w="0" w:type="dxa"/>
          <w:right w:w="108" w:type="dxa"/>
        </w:tblCellMar>
      </w:tblPr>
      <w:tblGrid>
        <w:gridCol w:w="1812"/>
        <w:gridCol w:w="2685"/>
        <w:gridCol w:w="3807"/>
      </w:tblGrid>
      <w:tr w14:paraId="40FC5157">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979F5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零件名称</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0C68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材料名称</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D8FBC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14:paraId="73D83A77">
        <w:tblPrEx>
          <w:tblCellMar>
            <w:top w:w="0" w:type="dxa"/>
            <w:left w:w="108" w:type="dxa"/>
            <w:bottom w:w="0" w:type="dxa"/>
            <w:right w:w="108" w:type="dxa"/>
          </w:tblCellMar>
        </w:tblPrEx>
        <w:trPr>
          <w:trHeight w:val="79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0172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箱体</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221DA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_GB2312" w:hAnsi="仿宋_GB2312" w:eastAsia="仿宋_GB2312" w:cs="仿宋_GB2312"/>
                <w:b w:val="0"/>
                <w:bCs w:val="0"/>
                <w:sz w:val="24"/>
                <w:szCs w:val="24"/>
                <w:highlight w:val="none"/>
                <w:lang w:val="en-US" w:eastAsia="zh-CN"/>
              </w:rPr>
            </w:pPr>
          </w:p>
          <w:p w14:paraId="25FF5FF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不锈钢304</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E1AEE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壁厚不小于5mm，模块化组装（单个组装单元重量不大于100公斤）</w:t>
            </w:r>
          </w:p>
        </w:tc>
      </w:tr>
      <w:tr w14:paraId="2E29133C">
        <w:tblPrEx>
          <w:tblCellMar>
            <w:top w:w="0" w:type="dxa"/>
            <w:left w:w="108" w:type="dxa"/>
            <w:bottom w:w="0" w:type="dxa"/>
            <w:right w:w="108" w:type="dxa"/>
          </w:tblCellMar>
        </w:tblPrEx>
        <w:trPr>
          <w:trHeight w:val="33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2DFBB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搅拌轴</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E4ADA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合金结构钢42</w:t>
            </w:r>
            <w:r>
              <w:rPr>
                <w:rFonts w:hint="eastAsia" w:ascii="仿宋_GB2312" w:hAnsi="仿宋_GB2312" w:eastAsia="仿宋_GB2312" w:cs="仿宋_GB2312"/>
                <w:b w:val="0"/>
                <w:bCs w:val="0"/>
                <w:sz w:val="24"/>
                <w:szCs w:val="24"/>
                <w:highlight w:val="none"/>
              </w:rPr>
              <w:t>Cr</w:t>
            </w:r>
            <w:r>
              <w:rPr>
                <w:rFonts w:hint="eastAsia" w:ascii="仿宋_GB2312" w:hAnsi="仿宋_GB2312" w:eastAsia="仿宋_GB2312" w:cs="仿宋_GB2312"/>
                <w:b w:val="0"/>
                <w:bCs w:val="0"/>
                <w:sz w:val="24"/>
                <w:szCs w:val="24"/>
                <w:highlight w:val="none"/>
                <w:lang w:val="en-US" w:eastAsia="zh-CN"/>
              </w:rPr>
              <w:t>MO</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B3B69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双轴搅拌</w:t>
            </w:r>
          </w:p>
        </w:tc>
      </w:tr>
      <w:tr w14:paraId="1110A3F8">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BE61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搅拌叶片</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CF98E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耐磨钢</w:t>
            </w:r>
            <w:r>
              <w:rPr>
                <w:rFonts w:hint="eastAsia" w:ascii="仿宋_GB2312" w:hAnsi="仿宋_GB2312" w:eastAsia="仿宋_GB2312" w:cs="仿宋_GB2312"/>
                <w:b w:val="0"/>
                <w:bCs w:val="0"/>
                <w:sz w:val="24"/>
                <w:szCs w:val="24"/>
                <w:highlight w:val="none"/>
              </w:rPr>
              <w:t>Cr</w:t>
            </w:r>
            <w:r>
              <w:rPr>
                <w:rFonts w:hint="eastAsia" w:ascii="仿宋_GB2312" w:hAnsi="仿宋_GB2312" w:eastAsia="仿宋_GB2312" w:cs="仿宋_GB2312"/>
                <w:b w:val="0"/>
                <w:bCs w:val="0"/>
                <w:sz w:val="24"/>
                <w:szCs w:val="24"/>
                <w:highlight w:val="none"/>
                <w:lang w:val="en-US" w:eastAsia="zh-CN"/>
              </w:rPr>
              <w:t>26</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4E4404">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与搅拌轴螺栓（不锈钢304）连接</w:t>
            </w:r>
          </w:p>
        </w:tc>
      </w:tr>
      <w:tr w14:paraId="2507B59A">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E912A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配水管</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BBBC11B">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不锈钢</w:t>
            </w:r>
            <w:r>
              <w:rPr>
                <w:rFonts w:hint="eastAsia" w:ascii="仿宋_GB2312" w:hAnsi="仿宋_GB2312" w:eastAsia="仿宋_GB2312" w:cs="仿宋_GB2312"/>
                <w:b w:val="0"/>
                <w:bCs w:val="0"/>
                <w:sz w:val="24"/>
                <w:szCs w:val="24"/>
                <w:highlight w:val="none"/>
                <w:lang w:val="en-US" w:eastAsia="zh-CN"/>
              </w:rPr>
              <w:t>304</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B8AC7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进水总管接口法兰（DN50）连接</w:t>
            </w:r>
          </w:p>
        </w:tc>
      </w:tr>
      <w:tr w14:paraId="60EFED51">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A5838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轴封</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7955B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橡胶套</w:t>
            </w:r>
            <w:r>
              <w:rPr>
                <w:rFonts w:hint="eastAsia" w:ascii="仿宋_GB2312" w:hAnsi="仿宋_GB2312" w:eastAsia="仿宋_GB2312" w:cs="仿宋_GB2312"/>
                <w:b w:val="0"/>
                <w:bCs w:val="0"/>
                <w:sz w:val="24"/>
                <w:szCs w:val="24"/>
                <w:highlight w:val="none"/>
                <w:lang w:val="en-US" w:eastAsia="zh-CN"/>
              </w:rPr>
              <w:t>+机械密封</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40C7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p>
        </w:tc>
      </w:tr>
      <w:tr w14:paraId="054A4E35">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62835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传动齿轮</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5D9348">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合金结构钢40</w:t>
            </w:r>
            <w:r>
              <w:rPr>
                <w:rFonts w:hint="eastAsia" w:ascii="仿宋_GB2312" w:hAnsi="仿宋_GB2312" w:eastAsia="仿宋_GB2312" w:cs="仿宋_GB2312"/>
                <w:b w:val="0"/>
                <w:bCs w:val="0"/>
                <w:sz w:val="24"/>
                <w:szCs w:val="24"/>
                <w:highlight w:val="none"/>
              </w:rPr>
              <w:t>Cr</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91BC48">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锻后整体调质</w:t>
            </w:r>
            <w:r>
              <w:rPr>
                <w:rFonts w:hint="eastAsia" w:ascii="仿宋_GB2312" w:hAnsi="仿宋_GB2312" w:eastAsia="仿宋_GB2312" w:cs="仿宋_GB2312"/>
                <w:b w:val="0"/>
                <w:bCs w:val="0"/>
                <w:sz w:val="24"/>
                <w:szCs w:val="24"/>
                <w:highlight w:val="none"/>
                <w:lang w:val="en-US" w:eastAsia="zh-CN"/>
              </w:rPr>
              <w:t>+齿面高频淬火</w:t>
            </w:r>
          </w:p>
        </w:tc>
      </w:tr>
      <w:tr w14:paraId="40F95BA7">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8C10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减速机</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900E5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E608D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卧式摆线针减速机，国内知名品牌</w:t>
            </w:r>
          </w:p>
        </w:tc>
      </w:tr>
      <w:tr w14:paraId="5DC54C3E">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7FEC2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电机</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37AC3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功率7.5kW</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68574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一级能效</w:t>
            </w:r>
          </w:p>
        </w:tc>
      </w:tr>
      <w:tr w14:paraId="5CB82FB4">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C1147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公共</w:t>
            </w:r>
            <w:r>
              <w:rPr>
                <w:rFonts w:hint="eastAsia" w:ascii="仿宋_GB2312" w:hAnsi="仿宋_GB2312" w:eastAsia="仿宋_GB2312" w:cs="仿宋_GB2312"/>
                <w:b w:val="0"/>
                <w:bCs w:val="0"/>
                <w:sz w:val="24"/>
                <w:szCs w:val="24"/>
                <w:highlight w:val="none"/>
              </w:rPr>
              <w:t>底座</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0F36A7">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普材</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A656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Q235B</w:t>
            </w:r>
          </w:p>
        </w:tc>
      </w:tr>
    </w:tbl>
    <w:p w14:paraId="04575861">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4.设备安装尺寸要求</w:t>
      </w:r>
    </w:p>
    <w:p w14:paraId="0D4C05D5">
      <w:pPr>
        <w:ind w:firstLine="640" w:firstLineChars="200"/>
        <w:rPr>
          <w:rFonts w:hint="eastAsia"/>
          <w:sz w:val="32"/>
          <w:szCs w:val="32"/>
          <w:highlight w:val="none"/>
          <w:lang w:val="en-US" w:eastAsia="zh-CN"/>
        </w:rPr>
      </w:pPr>
      <w:r>
        <w:rPr>
          <w:rFonts w:hint="eastAsia" w:ascii="仿宋_GB2312" w:hAnsi="仿宋_GB2312" w:eastAsia="仿宋_GB2312" w:cs="仿宋_GB2312"/>
          <w:sz w:val="32"/>
          <w:szCs w:val="32"/>
          <w:highlight w:val="none"/>
          <w:lang w:val="en-US" w:eastAsia="zh-CN"/>
        </w:rPr>
        <w:t>设备供货单位负责与现场匹配的接口技术问题，本次采购的石灰消化机需满足现场的安装方向及外观尺寸。因现场空间较小，石灰消化机安装尺寸必须满足设备参数的要求，进料口、出料口、排风口、配水管接口必须与现场接口规格及位置匹配。</w:t>
      </w:r>
    </w:p>
    <w:p w14:paraId="41B58B6F">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5.石灰消化机技术要求</w:t>
      </w:r>
    </w:p>
    <w:p w14:paraId="0BEE519B">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5.1乙方提供技术先进、结构合理、安全、成熟可靠并符合国家有关标准的产品。</w:t>
      </w:r>
    </w:p>
    <w:p w14:paraId="4D12D60D">
      <w:pPr>
        <w:spacing w:before="120" w:after="120" w:line="288" w:lineRule="auto"/>
        <w:ind w:left="0" w:firstLine="640" w:firstLineChars="200"/>
        <w:jc w:val="lef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5.2现场无起重设施，设备需采用模块化拆分设计，箱体分为2-3段拼接安装，搅拌轴分2段法兰连接组装，进料口、排风口、观察口与箱体盖板分段拼接螺栓紧固安装，出料口上方观察口直径不小于DN200，配套孔盖（快拆设计）。箱体内壁光滑，导流结构合理，运行过程中无明显结垢，连续运行30天内无需清理结垢。</w:t>
      </w:r>
    </w:p>
    <w:p w14:paraId="12B7BBCC">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5.3箱体拼接采用螺栓连接，箱体外部设置合理的加强筋防止箱体变形，连接处有定位孔保证现场组装的精度，密封垫选用氟橡胶，可在强碱性（石灰乳）100℃环境下使用寿命不小于5年。</w:t>
      </w:r>
    </w:p>
    <w:p w14:paraId="307F9AA0">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5.4搅拌桨采用桨叶式结构，搅拌叶片与搅拌轴螺栓连接；搅拌轴强度必须满足石灰乳配置最大工作量下的抗扭强度；搅拌叶片采用耐磨合金钢，数量满足生石灰消化率≥95%的要求。搅拌叶片与箱体间隙不大于10mm。</w:t>
      </w:r>
    </w:p>
    <w:p w14:paraId="0317B2DC">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5.5双轴传动齿轮采用合金结构钢40Cr，锻后做整体调质，齿面高频淬火处理，调质硬度220-250HB，齿面硬度52-58RC，表面做发黑/磷化并涂防锈油。</w:t>
      </w:r>
    </w:p>
    <w:p w14:paraId="1878DC74">
      <w:pPr>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5.6消化机在额定处理量下，生石灰消化率≥95%，消化后石灰乳均匀度好，无明显分层现象，静置30分钟后沉淀量≤5%（按容积计）。</w:t>
      </w:r>
    </w:p>
    <w:p w14:paraId="3D98EBE6">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5.7消化机设备连续运行72小时无故障，搅拌系统无卡滞、异响，电机温升≤80K，运行噪音≤85dB（A）（距离设备1m处测量）。</w:t>
      </w:r>
    </w:p>
    <w:p w14:paraId="55FAB4DA">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5.8所有外露的转动部位必须设置可拆卸的防护罩，防护罩厚度不小于3mm，防护间隙不大于10mm，外表喷涂红色底漆，并标示旋转方向（黄色箭头）。</w:t>
      </w:r>
    </w:p>
    <w:p w14:paraId="47F8A6CF">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5.9乙方应提供设备产品设计、制造、质量检验、交货及验收应遵照的规范和标准。</w:t>
      </w:r>
    </w:p>
    <w:p w14:paraId="5AA9DA93">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5.10乙方应随设备供货提供该设备的装配资料、材质证明、装箱单、实验报告、产品说明书、产品合格证随主设备一同发运现场提供给甲方。</w:t>
      </w:r>
    </w:p>
    <w:p w14:paraId="5ED58087">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5.11乙方提供的消化机功能完整，技术先进成熟，所供设备均按最新标准设计和制造，在系统正常合理工况下能满足安全和持续运行的要求。</w:t>
      </w:r>
    </w:p>
    <w:p w14:paraId="7336B72C">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5.12消化机附带原装箱体密封垫一套，轴封（橡胶套+机械密封）一套。</w:t>
      </w:r>
    </w:p>
    <w:p w14:paraId="368D1B09">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6.电机技术要求</w:t>
      </w:r>
    </w:p>
    <w:p w14:paraId="0B825A43">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highlight w:val="none"/>
          <w:lang w:val="en-US" w:eastAsia="zh-CN"/>
        </w:rPr>
        <w:t>6.1电机</w:t>
      </w:r>
      <w:r>
        <w:rPr>
          <w:rFonts w:hint="eastAsia" w:ascii="仿宋_GB2312" w:hAnsi="仿宋_GB2312" w:eastAsia="仿宋_GB2312" w:cs="仿宋_GB2312"/>
          <w:color w:val="000000"/>
          <w:sz w:val="32"/>
          <w:szCs w:val="32"/>
          <w:highlight w:val="none"/>
        </w:rPr>
        <w:t xml:space="preserve">三相异步电动机   </w:t>
      </w:r>
      <w:r>
        <w:rPr>
          <w:rFonts w:hint="eastAsia" w:ascii="仿宋_GB2312" w:hAnsi="仿宋_GB2312" w:eastAsia="仿宋_GB2312" w:cs="仿宋_GB2312"/>
          <w:b/>
          <w:sz w:val="32"/>
          <w:szCs w:val="32"/>
        </w:rPr>
        <w:t xml:space="preserve"> </w:t>
      </w:r>
    </w:p>
    <w:p w14:paraId="1B54D876">
      <w:pPr>
        <w:spacing w:line="360" w:lineRule="auto"/>
        <w:ind w:firstLine="800" w:firstLineChars="25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能效等级</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一级能效</w:t>
      </w:r>
    </w:p>
    <w:p w14:paraId="796C07E2">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功率：    </w:t>
      </w:r>
      <w:r>
        <w:rPr>
          <w:rFonts w:hint="eastAsia" w:ascii="仿宋_GB2312" w:hAnsi="仿宋_GB2312" w:eastAsia="仿宋_GB2312" w:cs="仿宋_GB2312"/>
          <w:color w:val="000000"/>
          <w:sz w:val="32"/>
          <w:szCs w:val="32"/>
          <w:lang w:val="en-US" w:eastAsia="zh-CN"/>
        </w:rPr>
        <w:t>7.5kW</w:t>
      </w:r>
      <w:r>
        <w:rPr>
          <w:rFonts w:hint="eastAsia" w:ascii="仿宋_GB2312" w:hAnsi="仿宋_GB2312" w:eastAsia="仿宋_GB2312" w:cs="仿宋_GB2312"/>
          <w:color w:val="000000"/>
          <w:sz w:val="32"/>
          <w:szCs w:val="32"/>
        </w:rPr>
        <w:t xml:space="preserve">   </w:t>
      </w:r>
    </w:p>
    <w:p w14:paraId="5115564A">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电压等级：380V</w:t>
      </w:r>
    </w:p>
    <w:p w14:paraId="3A46A896">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转速：  </w:t>
      </w:r>
      <w:r>
        <w:rPr>
          <w:rFonts w:hint="eastAsia" w:ascii="仿宋_GB2312" w:hAnsi="仿宋_GB2312" w:eastAsia="仿宋_GB2312" w:cs="仿宋_GB2312"/>
          <w:color w:val="000000"/>
          <w:sz w:val="32"/>
          <w:szCs w:val="32"/>
          <w:lang w:val="en-US" w:eastAsia="zh-CN"/>
        </w:rPr>
        <w:t>1450</w:t>
      </w:r>
      <w:r>
        <w:rPr>
          <w:rFonts w:hint="eastAsia" w:ascii="仿宋_GB2312" w:hAnsi="仿宋_GB2312" w:eastAsia="仿宋_GB2312" w:cs="仿宋_GB2312"/>
          <w:color w:val="000000"/>
          <w:sz w:val="32"/>
          <w:szCs w:val="32"/>
        </w:rPr>
        <w:t xml:space="preserve">r/min      </w:t>
      </w:r>
    </w:p>
    <w:p w14:paraId="53F71312">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频率：   50Hz    </w:t>
      </w:r>
    </w:p>
    <w:p w14:paraId="66560FB3">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绝缘等级：</w:t>
      </w:r>
      <w:r>
        <w:rPr>
          <w:rFonts w:hint="eastAsia" w:ascii="仿宋_GB2312" w:hAnsi="仿宋_GB2312" w:eastAsia="仿宋_GB2312" w:cs="仿宋_GB2312"/>
          <w:color w:val="000000"/>
          <w:sz w:val="32"/>
          <w:szCs w:val="32"/>
          <w:lang w:val="en-US" w:eastAsia="zh-CN"/>
        </w:rPr>
        <w:t>F</w:t>
      </w:r>
    </w:p>
    <w:p w14:paraId="713CF7DC">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功率因数</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0.83-0.89</w:t>
      </w:r>
    </w:p>
    <w:p w14:paraId="68454D8D">
      <w:pPr>
        <w:spacing w:line="360" w:lineRule="auto"/>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防护等级：  IP54</w:t>
      </w:r>
    </w:p>
    <w:p w14:paraId="5490566A">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风扇材质：  铸铝</w:t>
      </w:r>
      <w:r>
        <w:rPr>
          <w:rFonts w:hint="eastAsia" w:ascii="仿宋_GB2312" w:hAnsi="仿宋_GB2312" w:eastAsia="仿宋_GB2312" w:cs="仿宋_GB2312"/>
          <w:color w:val="000000"/>
          <w:sz w:val="32"/>
          <w:szCs w:val="32"/>
        </w:rPr>
        <w:t xml:space="preserve"> </w:t>
      </w:r>
    </w:p>
    <w:p w14:paraId="0D2AAAFB">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工作制：  S1  </w:t>
      </w:r>
    </w:p>
    <w:p w14:paraId="35F0476A">
      <w:pPr>
        <w:pStyle w:val="7"/>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color w:val="000000"/>
          <w:sz w:val="32"/>
          <w:szCs w:val="32"/>
        </w:rPr>
        <w:t>具备国家技术质量监督局颁发的制造许可证；</w:t>
      </w:r>
    </w:p>
    <w:p w14:paraId="1483BF40">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6.3电动机应满足IEC所规定的要求，具有良好防腐蚀的能力。</w:t>
      </w:r>
    </w:p>
    <w:p w14:paraId="578ED881">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6.4电动机的设计与构造，必须与它所驱动设备的运行条件和维护要求一致。</w:t>
      </w:r>
    </w:p>
    <w:p w14:paraId="11FFD803">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6.5投标时提供电动机型号、生产厂家、能耗等级等相关参数。</w:t>
      </w:r>
    </w:p>
    <w:p w14:paraId="4C13DAFD">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6.6电动机能在80%额定电压下平稳启动，且能在70%额定电压下自启动。电动机满载运行时，能承受电源快速切换过程中失电而不损坏。采取了有效的防位移措施，防止笼条位移。</w:t>
      </w:r>
    </w:p>
    <w:p w14:paraId="343DF736">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6.7电动机上接线桩头明确标明了A、B、C三相的接入点和接地标识。</w:t>
      </w:r>
    </w:p>
    <w:p w14:paraId="45BB69EF">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6.8电动机轴承有外置加油装置，有固定接地导线的合适装置。</w:t>
      </w:r>
    </w:p>
    <w:p w14:paraId="5BBEEF1A">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lang w:val="en-GB" w:eastAsia="zh-CN"/>
        </w:rPr>
        <w:t>四、验收及技术服务</w:t>
      </w:r>
    </w:p>
    <w:p w14:paraId="291C96AE">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1.乙方对整套设备的合理性、完整性负责，包含提供设备与配套电机的连接方式的最终资料。</w:t>
      </w:r>
    </w:p>
    <w:p w14:paraId="6A1D63DE">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2.所有设备均按国家最新标准的规定进行组装。</w:t>
      </w:r>
    </w:p>
    <w:p w14:paraId="6298ED9B">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3.所有用于设备制造的材料及制作工艺均应符合相关行业标准，完成全部技术参数的设计要求。</w:t>
      </w:r>
    </w:p>
    <w:p w14:paraId="2B84E6A3">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到货后由乙方组织甲方相关人员对设备进行开箱验收，随机设备及附件数量和种类必须符合本协议中的要求，如存在质量问题，乙方无条件负责免费更换。供货超期或因设备质量问题导致无法安装使用，按照合同违约条款执行。</w:t>
      </w:r>
    </w:p>
    <w:p w14:paraId="4D403A5B">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5.乙方供货所有设备若存在国家、行业标准和本规格书要求不符合项目，甲方有权拒绝设备的调试和功能考核，对设备直接进行退货，并按照商务合同的有关条款对乙方进行罚款或索赔。</w:t>
      </w:r>
    </w:p>
    <w:p w14:paraId="6803D5E6">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6.如运行过程中出现问题，经第三方检定为不符合相关技术要求，按照合同违约条款执行。</w:t>
      </w:r>
    </w:p>
    <w:p w14:paraId="6F332488">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7.乙方电动机出厂必须具有出厂检验报告、合格证、产品参数、使用说明书等相关资料，并随货交付甲方；所提供的技术资料须加盖图章，要求资料内容全面，数字准确。</w:t>
      </w:r>
    </w:p>
    <w:p w14:paraId="2DE1166F">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8.电动机的运输符合有关规定，在运输中出现损坏甲方不予承担。</w:t>
      </w:r>
    </w:p>
    <w:p w14:paraId="14B07478">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9.符合工业和信息化部关于高耗能落后机电设备（产品）淘汰目录（第一批、第二批、第三批、第四批）要求，采用新型节能、安全可靠的工艺和技术。</w:t>
      </w:r>
    </w:p>
    <w:p w14:paraId="0E54E61E">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10.电动机质保期至少为2年，若在质保期内出现质量问题，乙方在接到甲方的通知后，12小时内给予答复，如果有必要，48小时内赶到现场，若发现有重大质量问题，甲方全部退货，乙方承担全部赔偿责任。</w:t>
      </w:r>
    </w:p>
    <w:p w14:paraId="34DC006B">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11.石灰消化机质保期至少为2年，从设备功能考核合格之日算起，质保期内的产品质量问题，乙方免费维修、更换，由于乙方供货设备的质量问题而造成的故障或设备停运，乙方应免费负责7个自然日内更换有缺陷或损坏的部件，设备的质保期将延长12个月。</w:t>
      </w:r>
    </w:p>
    <w:p w14:paraId="6096064A">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14:paraId="73BDD1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1.乙方在中标后15日内将准确的电子版和纸质版备件明细表、</w:t>
      </w:r>
      <w:r>
        <w:rPr>
          <w:rFonts w:hint="eastAsia" w:ascii="仿宋_GB2312" w:hAnsi="仿宋_GB2312" w:eastAsia="仿宋_GB2312" w:cs="仿宋_GB2312"/>
          <w:sz w:val="32"/>
          <w:szCs w:val="32"/>
          <w:highlight w:val="none"/>
          <w:lang w:val="en-US" w:eastAsia="zh-CN"/>
        </w:rPr>
        <w:t>外购件明细表</w:t>
      </w:r>
      <w:r>
        <w:rPr>
          <w:rFonts w:hint="eastAsia" w:ascii="仿宋_GB2312" w:hAnsi="仿宋_GB2312" w:eastAsia="仿宋_GB2312" w:cs="仿宋_GB2312"/>
          <w:b w:val="0"/>
          <w:bCs w:val="0"/>
          <w:kern w:val="2"/>
          <w:sz w:val="32"/>
          <w:szCs w:val="32"/>
          <w:lang w:val="en-US" w:eastAsia="zh-CN"/>
        </w:rPr>
        <w:t>提供给甲方。</w:t>
      </w:r>
    </w:p>
    <w:p w14:paraId="095E79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2.设备到货后同时提供出厂最终资料（试验报告</w:t>
      </w:r>
      <w:r>
        <w:rPr>
          <w:rFonts w:hint="eastAsia" w:ascii="仿宋_GB2312" w:hAnsi="仿宋_GB2312" w:eastAsia="仿宋_GB2312" w:cs="仿宋_GB2312"/>
          <w:sz w:val="32"/>
          <w:szCs w:val="32"/>
          <w:highlight w:val="none"/>
          <w:lang w:val="en-US" w:eastAsia="zh-CN"/>
        </w:rPr>
        <w:t>、材质证明、产品合格证</w:t>
      </w:r>
      <w:r>
        <w:rPr>
          <w:rFonts w:hint="eastAsia" w:ascii="仿宋_GB2312" w:hAnsi="仿宋_GB2312" w:eastAsia="仿宋_GB2312" w:cs="仿宋_GB2312"/>
          <w:b w:val="0"/>
          <w:bCs w:val="0"/>
          <w:kern w:val="2"/>
          <w:sz w:val="32"/>
          <w:szCs w:val="32"/>
          <w:lang w:val="en-US" w:eastAsia="zh-CN"/>
        </w:rPr>
        <w:t>）。</w:t>
      </w:r>
    </w:p>
    <w:p w14:paraId="22A61D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3.邮寄地址</w:t>
      </w:r>
    </w:p>
    <w:p w14:paraId="582707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甲方邮寄信息：甘肃省嘉峪关市酒钢集团动力厂</w:t>
      </w:r>
    </w:p>
    <w:p w14:paraId="34A794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邮政编码：735100</w:t>
      </w:r>
    </w:p>
    <w:p w14:paraId="62C17D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收件人：董世平   联系电话：17793732678</w:t>
      </w:r>
    </w:p>
    <w:p w14:paraId="640F7610">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电子邮箱：dsp3037@jungang.com</w:t>
      </w:r>
    </w:p>
    <w:p w14:paraId="00F9877E">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 交货时间及地点</w:t>
      </w:r>
    </w:p>
    <w:p w14:paraId="712730F2">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1.交货时间：</w:t>
      </w:r>
      <w:r>
        <w:rPr>
          <w:rFonts w:hint="eastAsia" w:ascii="仿宋_GB2312" w:hAnsi="仿宋_GB2312" w:eastAsia="仿宋_GB2312" w:cs="仿宋_GB2312"/>
          <w:b w:val="0"/>
          <w:bCs w:val="0"/>
          <w:kern w:val="2"/>
          <w:sz w:val="32"/>
          <w:szCs w:val="32"/>
          <w:highlight w:val="none"/>
          <w:lang w:val="en-US" w:eastAsia="zh-CN"/>
        </w:rPr>
        <w:t>以合同规定日期为准</w:t>
      </w:r>
    </w:p>
    <w:p w14:paraId="0CF32AFD">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2.交货地点：甘肃酒钢集团动力厂</w:t>
      </w:r>
    </w:p>
    <w:p w14:paraId="5149DC19">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七、其他</w:t>
      </w:r>
    </w:p>
    <w:p w14:paraId="730A03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1.本协议一式四份，甲方三份，乙方一份。</w:t>
      </w:r>
    </w:p>
    <w:p w14:paraId="7669DA63">
      <w:pPr>
        <w:pStyle w:val="4"/>
        <w:ind w:left="0" w:leftChars="0"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2.本技术协议作为使用协议附件，具有与使用协议同等的法律效力，经甲、乙双方签字盖章后生效。</w:t>
      </w:r>
    </w:p>
    <w:p w14:paraId="499D172B">
      <w:pPr>
        <w:pStyle w:val="4"/>
        <w:ind w:left="0" w:leftChars="0" w:firstLine="640" w:firstLineChars="200"/>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rPr>
        <w:t>3.</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若</w:t>
      </w:r>
      <w:r>
        <w:rPr>
          <w:rFonts w:hint="eastAsia" w:ascii="仿宋_GB2312" w:hAnsi="仿宋_GB2312" w:eastAsia="仿宋_GB2312" w:cs="仿宋_GB2312"/>
          <w:b w:val="0"/>
          <w:bCs w:val="0"/>
          <w:color w:val="000000" w:themeColor="text1"/>
          <w:kern w:val="2"/>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公司不能中标，则本技术协议自动失效，双方互不承担任何责任（此内容限于标前技术协议签订中使用）。</w:t>
      </w:r>
    </w:p>
    <w:p w14:paraId="6B33B88B">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 xml:space="preserve">本协议内容经由甲乙双方于     年  月  日           时-   时通过               方式商定。 </w:t>
      </w:r>
    </w:p>
    <w:p w14:paraId="2169BE2C">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5.</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甲乙双方应当就签订本协议的相关事宜保密，不得将签订主体、时间、内容等信息透露给其他第三人。</w:t>
      </w:r>
    </w:p>
    <w:p w14:paraId="7A6F60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14:paraId="5EDBBF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甲方：（行政公章）</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乙方：（合同专用章）</w:t>
      </w:r>
    </w:p>
    <w:p w14:paraId="62057E41">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32"/>
          <w:szCs w:val="32"/>
        </w:rPr>
      </w:pPr>
    </w:p>
    <w:p w14:paraId="4B0AF2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甲方代表：</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乙方代表：</w:t>
      </w:r>
    </w:p>
    <w:p w14:paraId="79D43C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14:paraId="3CF88D52">
      <w:pPr>
        <w:keepNext w:val="0"/>
        <w:keepLines w:val="0"/>
        <w:pageBreakBefore w:val="0"/>
        <w:widowControl w:val="0"/>
        <w:kinsoku/>
        <w:wordWrap/>
        <w:overflowPunct/>
        <w:topLinePunct w:val="0"/>
        <w:autoSpaceDE/>
        <w:autoSpaceDN/>
        <w:bidi w:val="0"/>
        <w:adjustRightInd/>
        <w:snapToGrid/>
        <w:ind w:firstLine="1920" w:firstLineChars="600"/>
        <w:textAlignment w:val="auto"/>
        <w:rPr>
          <w:rFonts w:hint="eastAsia" w:ascii="仿宋_GB2312" w:hAnsi="仿宋_GB2312" w:eastAsia="仿宋_GB2312" w:cs="仿宋_GB2312"/>
          <w:b/>
          <w:bCs/>
          <w:color w:val="FF0000"/>
          <w:kern w:val="2"/>
          <w:sz w:val="32"/>
          <w:szCs w:val="32"/>
          <w:lang w:val="en-US" w:eastAsia="zh-CN"/>
        </w:rPr>
      </w:pP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p>
    <w:p w14:paraId="4D8D2B7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ZTdkZjJhYTRkYmY4M2M1MWNlMzhkMGMwN2Q2YTYifQ=="/>
  </w:docVars>
  <w:rsids>
    <w:rsidRoot w:val="5FD107D5"/>
    <w:rsid w:val="00400F20"/>
    <w:rsid w:val="0CD12600"/>
    <w:rsid w:val="0DF5586B"/>
    <w:rsid w:val="0E482CFB"/>
    <w:rsid w:val="10B8439C"/>
    <w:rsid w:val="11E37064"/>
    <w:rsid w:val="139D62C3"/>
    <w:rsid w:val="14A37B76"/>
    <w:rsid w:val="18E50EAA"/>
    <w:rsid w:val="1B6D3B00"/>
    <w:rsid w:val="1CA61C7D"/>
    <w:rsid w:val="1DEE2CBD"/>
    <w:rsid w:val="2016342C"/>
    <w:rsid w:val="20C02311"/>
    <w:rsid w:val="27541A0C"/>
    <w:rsid w:val="2BD355F5"/>
    <w:rsid w:val="2CAC404E"/>
    <w:rsid w:val="2CBD0D9A"/>
    <w:rsid w:val="2CDC069B"/>
    <w:rsid w:val="2D0974C5"/>
    <w:rsid w:val="2D7B23E8"/>
    <w:rsid w:val="30C91B6F"/>
    <w:rsid w:val="34AF0955"/>
    <w:rsid w:val="35415A03"/>
    <w:rsid w:val="39FE4185"/>
    <w:rsid w:val="3C97266F"/>
    <w:rsid w:val="3D8177D5"/>
    <w:rsid w:val="3F0B2310"/>
    <w:rsid w:val="40031A1B"/>
    <w:rsid w:val="40710CC1"/>
    <w:rsid w:val="41E560DF"/>
    <w:rsid w:val="427A56FA"/>
    <w:rsid w:val="42C31904"/>
    <w:rsid w:val="44792AB5"/>
    <w:rsid w:val="45ED3BDA"/>
    <w:rsid w:val="46B207D1"/>
    <w:rsid w:val="47A959C1"/>
    <w:rsid w:val="47AA14A8"/>
    <w:rsid w:val="48EC7B1D"/>
    <w:rsid w:val="4C9F5FCC"/>
    <w:rsid w:val="54155808"/>
    <w:rsid w:val="54F96501"/>
    <w:rsid w:val="5FD107D5"/>
    <w:rsid w:val="63B23D86"/>
    <w:rsid w:val="63FA6EBC"/>
    <w:rsid w:val="64B44F54"/>
    <w:rsid w:val="64D43BB1"/>
    <w:rsid w:val="6A2B1ED2"/>
    <w:rsid w:val="6AAD1843"/>
    <w:rsid w:val="6AE368FC"/>
    <w:rsid w:val="6B2C02A3"/>
    <w:rsid w:val="6E181B4E"/>
    <w:rsid w:val="708410A0"/>
    <w:rsid w:val="708C5AA8"/>
    <w:rsid w:val="71ED2114"/>
    <w:rsid w:val="73C42049"/>
    <w:rsid w:val="742865E4"/>
    <w:rsid w:val="75725B14"/>
    <w:rsid w:val="75FE2CF3"/>
    <w:rsid w:val="765276DB"/>
    <w:rsid w:val="79ED50A1"/>
    <w:rsid w:val="7D2C7C8E"/>
    <w:rsid w:val="7E5F63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hAnsi="Times New Roman"/>
      <w:sz w:val="24"/>
      <w:szCs w:val="24"/>
    </w:rPr>
  </w:style>
  <w:style w:type="paragraph" w:styleId="3">
    <w:name w:val="Plain Text"/>
    <w:basedOn w:val="1"/>
    <w:qFormat/>
    <w:uiPriority w:val="0"/>
    <w:pPr>
      <w:widowControl w:val="0"/>
      <w:jc w:val="both"/>
    </w:pPr>
    <w:rPr>
      <w:rFonts w:ascii="宋体" w:hAnsi="Courier New"/>
      <w:kern w:val="2"/>
      <w:sz w:val="21"/>
    </w:rPr>
  </w:style>
  <w:style w:type="paragraph" w:styleId="4">
    <w:name w:val="Body Text First Indent 2"/>
    <w:basedOn w:val="2"/>
    <w:qFormat/>
    <w:uiPriority w:val="0"/>
    <w:pPr>
      <w:spacing w:after="120" w:line="560" w:lineRule="exact"/>
      <w:ind w:left="420" w:leftChars="200" w:firstLine="420"/>
    </w:pPr>
    <w:rPr>
      <w:rFonts w:hAnsi="宋体"/>
      <w:sz w:val="28"/>
      <w:szCs w:val="22"/>
    </w:rPr>
  </w:style>
  <w:style w:type="paragraph" w:customStyle="1" w:styleId="7">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01df18c7-830d-4ab8-9af4-64ddbfc61249</errorID>
      <errorWord>机\</errorWord>
      <group>L1_AI</group>
      <groupName>深度校对</groupName>
      <ability>L2_AI_Word</ability>
      <abilityName>字词纠错</abilityName>
      <candidateList>
        <item>机</item>
      </candidateList>
      <explain/>
      <paraID>23C4AD20</paraID>
      <start>63</start>
      <end>65</end>
      <status>ignored</status>
      <modifiedWord/>
      <trackRevisions>false</trackRevisions>
    </reviewItem>
    <reviewItem>
      <errorID>273448a9-fa60-4166-be01-f7114250d984</errorID>
      <errorWord>经</errorWord>
      <group>L1_AI</group>
      <groupName>深度校对</groupName>
      <ability>L2_AI_Grammar</ability>
      <abilityName>语法纠错</abilityName>
      <candidateList>
        <item>事宜经</item>
      </candidateList>
      <explain/>
      <paraID>23C4AD20</paraID>
      <start>77</start>
      <end>78</end>
      <status>ignored</status>
      <modifiedWord/>
      <trackRevisions>false</trackRevisions>
    </reviewItem>
    <reviewItem>
      <errorID>4b722001-ab70-4b5a-9ad6-07c799c52472</errorID>
      <errorWord>，</errorWord>
      <group>L1_AI</group>
      <groupName>深度校对</groupName>
      <ability>L2_AI_Punc</ability>
      <abilityName>标点纠错</abilityName>
      <candidateList>
        <item>、</item>
      </candidateList>
      <explain/>
      <paraID> BEE519B</paraID>
      <start>11</start>
      <end>12</end>
      <status>modified</status>
      <modifiedWord>、</modifiedWord>
      <trackRevisions>false</trackRevisions>
    </reviewItem>
    <reviewItem>
      <errorID>1677fb29-0b06-487b-8a61-e1a40c21b758</errorID>
      <errorWord>(</errorWord>
      <group>L1_Format</group>
      <groupName>格式问题</groupName>
      <ability>L2_HalfPunc</ability>
      <abilityName>全半角检查</abilityName>
      <candidateList>
        <item>（</item>
      </candidateList>
      <explain>文本全半角错误。</explain>
      <paraID>3D98EBE6</paraID>
      <start>49</start>
      <end>50</end>
      <status>modified</status>
      <modifiedWord>（</modifiedWord>
      <trackRevisions>false</trackRevisions>
    </reviewItem>
    <reviewItem>
      <errorID>259b2b1d-18da-45a2-a6c2-e192bc335dbf</errorID>
      <errorWord>标识</errorWord>
      <group>L1_Word</group>
      <groupName>字词问题</groupName>
      <ability>L2_Typo</ability>
      <abilityName>字词错误</abilityName>
      <candidateList>
        <item>标示</item>
      </candidateList>
      <explain/>
      <paraID>55FAB4DA</paraID>
      <start>58</start>
      <end>60</end>
      <status>modified</status>
      <modifiedWord>标示</modifiedWord>
      <trackRevisions>false</trackRevisions>
    </reviewItem>
    <reviewItem>
      <errorID>b0e27369-9994-476f-966e-546576564da3</errorID>
      <errorWord>随</errorWord>
      <group>L1_AI</group>
      <groupName>深度校对</groupName>
      <ability>L2_AI_Punc</ability>
      <abilityName>标点纠错</abilityName>
      <candidateList>
        <item>，随</item>
      </candidateList>
      <explain/>
      <paraID>5AA9DA93</paraID>
      <start>48</start>
      <end>49</end>
      <status>ignored</status>
      <modifiedWord/>
      <trackRevisions>false</trackRevisions>
    </reviewItem>
    <reviewItem>
      <errorID>b4237659-0793-4d62-ba18-385b087d3744</errorID>
      <errorWord>措施</errorWord>
      <group>L1_AI</group>
      <groupName>深度校对</groupName>
      <ability>L2_AI_Grammar</ability>
      <abilityName>语法纠错</abilityName>
      <candidateList>
        <item>防位移措施</item>
      </candidateList>
      <explain/>
      <paraID>4C13DAFD</paraID>
      <start>70</start>
      <end>75</end>
      <status>modified</status>
      <modifiedWord>防位移措施</modifiedWord>
      <trackRevisions>false</trackRevisions>
    </reviewItem>
    <reviewItem>
      <errorID>fbe0c8b0-60d9-4030-8d2c-22cdc68dc108</errorID>
      <errorWord>条有防位移措施</errorWord>
      <group>L1_AI</group>
      <groupName>深度校对</groupName>
      <ability>L2_AI_Grammar</ability>
      <abilityName>语法纠错</abilityName>
      <candidateList>
        <item>条位移</item>
      </candidateList>
      <explain/>
      <paraID>4C13DAFD</paraID>
      <start>79</start>
      <end>82</end>
      <status>modified</status>
      <modifiedWord>条位移</modifiedWord>
      <trackRevisions>false</trackRevisions>
    </reviewItem>
    <reviewItem>
      <errorID>a7531b30-16b5-4f16-b76b-d7ddfcc404a6</errorID>
      <errorWord>量</errorWord>
      <group>L1_Word</group>
      <groupName>字词问题</groupName>
      <ability>L2_Typo</ability>
      <abilityName>字词错误</abilityName>
      <candidateList>
        <item>量和</item>
      </candidateList>
      <explain/>
      <paraID>2B84E6A3</paraID>
      <start>36</start>
      <end>38</end>
      <status>modified</status>
      <modifiedWord>量和</modifiedWord>
      <trackRevisions>false</trackRevisions>
    </reviewItem>
  </reviewItems>
  <config/>
</contractReview>
</file>

<file path=customXml/itemProps1.xml><?xml version="1.0" encoding="utf-8"?>
<ds:datastoreItem xmlns:ds="http://schemas.openxmlformats.org/officeDocument/2006/customXml" ds:itemID="{6e289625-227e-4444-8324-84fbd23d2fef}">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3772</Words>
  <Characters>4085</Characters>
  <Lines>0</Lines>
  <Paragraphs>0</Paragraphs>
  <TotalTime>1</TotalTime>
  <ScaleCrop>false</ScaleCrop>
  <LinksUpToDate>false</LinksUpToDate>
  <CharactersWithSpaces>4267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2022-10-19T01:34:00Z</dcterms:created>
  <dc:creator>王成德</dc:creator>
  <cp:lastModifiedBy>崔洪江</cp:lastModifiedBy>
  <dcterms:modified xsi:type="dcterms:W3CDTF">2026-04-08T10:44:21Z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2F24C1F21BD44E0897426A4A7FBD2571</vt:lpwstr>
  </property>
  <property fmtid="{D5CDD505-2E9C-101B-9397-08002B2CF9AE}" pid="4" name="KSOTemplateDocerSaveRecord">
    <vt:lpwstr>eyJoZGlkIjoiMjk5NDhmYWVkMGJjZDRlZWVhNzYyYjljNWFkMjkzMjciLCJ1c2VySWQiOiIxNTY4NjY3NTc0In0=</vt:lpwstr>
  </property>
</Properties>
</file>