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DA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镜铁山矿业公司2026年后勤服务业务外包</w:t>
      </w:r>
      <w:r>
        <w:rPr>
          <w:rFonts w:hint="eastAsia" w:ascii="微软雅黑" w:hAnsi="微软雅黑" w:eastAsia="微软雅黑" w:cs="微软雅黑"/>
          <w:sz w:val="28"/>
          <w:szCs w:val="28"/>
          <w:lang w:val="en-US" w:eastAsia="zh-CN"/>
        </w:rPr>
        <w:t>采购</w:t>
      </w:r>
    </w:p>
    <w:p w14:paraId="1667D45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lang w:val="en-US" w:eastAsia="zh-CN"/>
        </w:rPr>
      </w:pPr>
    </w:p>
    <w:p w14:paraId="68D1AA5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项目概况</w:t>
      </w:r>
    </w:p>
    <w:p w14:paraId="4F0B699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项目服务地点</w:t>
      </w:r>
      <w:bookmarkStart w:id="0" w:name="_GoBack"/>
      <w:bookmarkEnd w:id="0"/>
    </w:p>
    <w:p w14:paraId="72043B7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甘肃省张掖市肃南裕固族自治县祁丰藏族乡甘肃镜铁山矿业有限公司矿区</w:t>
      </w:r>
    </w:p>
    <w:p w14:paraId="1A43CFCD">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2.采购</w:t>
      </w:r>
      <w:r>
        <w:rPr>
          <w:rFonts w:hint="eastAsia" w:ascii="仿宋_GB2312" w:hAnsi="仿宋_GB2312" w:eastAsia="仿宋_GB2312" w:cs="仿宋_GB2312"/>
          <w:sz w:val="28"/>
          <w:szCs w:val="28"/>
        </w:rPr>
        <w:t>范围</w:t>
      </w:r>
    </w:p>
    <w:p w14:paraId="21EBE7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（1）镜铁山矿铁山宾馆及前楼的日常清扫、卧具清洗更换、客房物品管理、日常工作巡视及接待工作。</w:t>
      </w:r>
    </w:p>
    <w:p w14:paraId="75E2A01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（2）一食堂、回民食堂和三食堂保洁、餐具清洗等服务工作。</w:t>
      </w:r>
    </w:p>
    <w:p w14:paraId="0B27DF1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（3）“铁山精神”学习相关配套设施服务业务：铁山展览馆一、二楼展厅及卫生间，1号会议室和体育馆内卫生清扫；河心公园的日常维护工作。</w:t>
      </w:r>
    </w:p>
    <w:p w14:paraId="7F449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w:t>
      </w:r>
    </w:p>
    <w:p w14:paraId="3AE088FD">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2026年1月1日-</w:t>
      </w:r>
      <w:r>
        <w:rPr>
          <w:rFonts w:hint="eastAsia" w:ascii="仿宋_GB2312" w:hAnsi="仿宋_GB2312" w:eastAsia="仿宋_GB2312" w:cs="仿宋_GB2312"/>
          <w:sz w:val="28"/>
          <w:szCs w:val="28"/>
        </w:rPr>
        <w:t>2026年12月31日。</w:t>
      </w:r>
    </w:p>
    <w:p w14:paraId="7059DC6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企业自筹。</w:t>
      </w:r>
    </w:p>
    <w:p w14:paraId="6E792159">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预算价</w:t>
      </w:r>
    </w:p>
    <w:p w14:paraId="4AB324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本项目设置预算价，有效投标报价均超预算价时，招标人可按照废标处理。</w:t>
      </w:r>
    </w:p>
    <w:p w14:paraId="34EBAA9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投标人资格要求</w:t>
      </w:r>
    </w:p>
    <w:p w14:paraId="2FC3FA3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rPr>
        <w:t>本次招标要求投标人须为中华人民共和国境内的独立法人或其他组织；</w:t>
      </w:r>
    </w:p>
    <w:p w14:paraId="0206C55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rPr>
        <w:t>本次招标要求投标人不是被最高人民法院在“信用中国”网站或各级信用信息共享平台中列入的失信被执行人；</w:t>
      </w:r>
    </w:p>
    <w:p w14:paraId="3F91DD3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rPr>
        <w:t>本次招标要求投标人须具备劳务派遣经营许可证资质。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D70D1"/>
    <w:rsid w:val="584D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384</Characters>
  <Lines>0</Lines>
  <Paragraphs>0</Paragraphs>
  <TotalTime>52</TotalTime>
  <ScaleCrop>false</ScaleCrop>
  <LinksUpToDate>false</LinksUpToDate>
  <CharactersWithSpaces>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2025-11-27T03:59:00Z</dcterms:created>
  <dc:creator>LX</dc:creator>
  <cp:lastModifiedBy>WPS_1559688867</cp:lastModifiedBy>
  <dcterms:modified xsi:type="dcterms:W3CDTF">2025-11-28T01:22:54Z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eyJoZGlkIjoiMWZjNTI0ZDEzMzViNDM3ZDJlMDAwODc1NjBmNTZhMWIiLCJ1c2VySWQiOiI1NzE1MTAyODkifQ==</vt:lpwstr>
  </property>
  <property fmtid="{D5CDD505-2E9C-101B-9397-08002B2CF9AE}" pid="4" name="ICV">
    <vt:lpwstr>924C3BE087C44494BB860B7C2EDD2081_13</vt:lpwstr>
  </property>
</Properties>
</file>