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4E481B">
      <w:pPr>
        <w:pStyle w:val="5"/>
        <w:kinsoku w:val="0"/>
        <w:overflowPunct w:val="0"/>
        <w:spacing w:beforeLines="0" w:afterLines="0"/>
        <w:ind w:left="0" w:firstLine="0"/>
        <w:rPr>
          <w:rFonts w:hint="eastAsia" w:ascii="Times New Roman" w:eastAsia="Times New Roman" w:cs="Times New Roman"/>
          <w:sz w:val="20"/>
          <w:szCs w:val="20"/>
        </w:rPr>
      </w:pPr>
    </w:p>
    <w:p w14:paraId="70871BED">
      <w:pPr>
        <w:pStyle w:val="5"/>
        <w:kinsoku w:val="0"/>
        <w:overflowPunct w:val="0"/>
        <w:spacing w:before="8" w:beforeLines="0" w:afterLines="0"/>
        <w:ind w:left="0" w:firstLine="0"/>
        <w:rPr>
          <w:rFonts w:hint="eastAsia" w:ascii="Times New Roman" w:eastAsia="Times New Roman" w:cs="Times New Roman"/>
          <w:sz w:val="25"/>
          <w:szCs w:val="25"/>
        </w:rPr>
      </w:pPr>
    </w:p>
    <w:p w14:paraId="24B33545">
      <w:pPr>
        <w:pStyle w:val="2"/>
        <w:kinsoku w:val="0"/>
        <w:overflowPunct w:val="0"/>
        <w:spacing w:before="36" w:beforeLines="0" w:afterLines="0"/>
        <w:ind w:left="939" w:right="1259" w:firstLine="0"/>
        <w:jc w:val="center"/>
        <w:rPr>
          <w:rFonts w:hint="default"/>
          <w:sz w:val="32"/>
          <w:szCs w:val="32"/>
        </w:rPr>
      </w:pPr>
    </w:p>
    <w:p w14:paraId="709465D0">
      <w:pPr>
        <w:keepNext/>
        <w:kinsoku w:val="0"/>
        <w:overflowPunct w:val="0"/>
        <w:spacing w:beforeLines="0" w:afterLines="0" w:line="360" w:lineRule="auto"/>
        <w:ind w:firstLine="3534" w:firstLineChars="800"/>
        <w:jc w:val="both"/>
        <w:rPr>
          <w:rFonts w:hint="eastAsia" w:ascii="仿宋" w:hAnsi="仿宋" w:eastAsia="仿宋" w:cs="仿宋"/>
          <w:b/>
          <w:color w:val="0C0C0C"/>
          <w:sz w:val="44"/>
          <w:szCs w:val="44"/>
          <w:highlight w:val="cyan"/>
        </w:rPr>
      </w:pPr>
    </w:p>
    <w:p w14:paraId="3FDCA3C6">
      <w:pPr>
        <w:keepNext/>
        <w:kinsoku w:val="0"/>
        <w:overflowPunct w:val="0"/>
        <w:spacing w:beforeLines="0" w:afterLines="0" w:line="360" w:lineRule="auto"/>
        <w:ind w:firstLine="3534" w:firstLineChars="800"/>
        <w:jc w:val="both"/>
        <w:rPr>
          <w:rFonts w:hint="eastAsia" w:ascii="仿宋" w:hAnsi="仿宋" w:eastAsia="仿宋" w:cs="仿宋"/>
          <w:b/>
          <w:color w:val="0C0C0C"/>
          <w:sz w:val="44"/>
          <w:szCs w:val="44"/>
        </w:rPr>
      </w:pPr>
      <w:r>
        <w:rPr>
          <w:rFonts w:hint="eastAsia" w:ascii="仿宋" w:hAnsi="仿宋" w:eastAsia="仿宋" w:cs="仿宋"/>
          <w:b/>
          <w:color w:val="0C0C0C"/>
          <w:sz w:val="44"/>
          <w:szCs w:val="44"/>
        </w:rPr>
        <w:t>宏联自控公司</w:t>
      </w:r>
    </w:p>
    <w:p w14:paraId="32AB0901">
      <w:pPr>
        <w:keepNext/>
        <w:kinsoku w:val="0"/>
        <w:overflowPunct w:val="0"/>
        <w:spacing w:beforeLines="0" w:afterLines="0" w:line="360" w:lineRule="auto"/>
        <w:jc w:val="center"/>
        <w:rPr>
          <w:rFonts w:hint="eastAsia" w:ascii="仿宋" w:hAnsi="仿宋" w:eastAsia="仿宋" w:cs="仿宋"/>
          <w:b/>
          <w:color w:val="0C0C0C"/>
          <w:sz w:val="44"/>
          <w:szCs w:val="44"/>
        </w:rPr>
      </w:pPr>
      <w:r>
        <w:rPr>
          <w:rFonts w:hint="eastAsia" w:ascii="仿宋" w:hAnsi="仿宋" w:eastAsia="仿宋" w:cs="仿宋"/>
          <w:b/>
          <w:color w:val="0C0C0C"/>
          <w:sz w:val="44"/>
          <w:szCs w:val="44"/>
        </w:rPr>
        <w:t>低压配电柜及PLC柜</w:t>
      </w:r>
    </w:p>
    <w:p w14:paraId="1AA9D587">
      <w:pPr>
        <w:keepNext/>
        <w:kinsoku w:val="0"/>
        <w:overflowPunct w:val="0"/>
        <w:snapToGrid w:val="0"/>
        <w:spacing w:beforeLines="0" w:afterLines="0" w:line="360" w:lineRule="auto"/>
        <w:ind w:right="2" w:rightChars="1"/>
        <w:jc w:val="center"/>
        <w:textAlignment w:val="baseline"/>
        <w:rPr>
          <w:rFonts w:hint="default" w:hAnsi="宋体"/>
          <w:b/>
          <w:color w:val="0000FF"/>
          <w:sz w:val="36"/>
          <w:szCs w:val="36"/>
          <w:highlight w:val="cyan"/>
        </w:rPr>
      </w:pPr>
    </w:p>
    <w:p w14:paraId="000F7526">
      <w:pPr>
        <w:pStyle w:val="10"/>
        <w:keepNext/>
        <w:kinsoku w:val="0"/>
        <w:overflowPunct w:val="0"/>
        <w:spacing w:beforeLines="0" w:afterLines="0"/>
        <w:rPr>
          <w:rFonts w:hint="default"/>
          <w:color w:val="0000FF"/>
          <w:sz w:val="28"/>
          <w:szCs w:val="28"/>
          <w:highlight w:val="cyan"/>
        </w:rPr>
      </w:pPr>
    </w:p>
    <w:p w14:paraId="5D68EE09">
      <w:pPr>
        <w:keepNext/>
        <w:kinsoku w:val="0"/>
        <w:overflowPunct w:val="0"/>
        <w:snapToGrid w:val="0"/>
        <w:spacing w:beforeLines="0" w:afterLines="0" w:line="360" w:lineRule="auto"/>
        <w:ind w:right="2" w:rightChars="1"/>
        <w:jc w:val="center"/>
        <w:textAlignment w:val="baseline"/>
        <w:rPr>
          <w:rFonts w:hint="default" w:hAnsi="宋体"/>
          <w:b/>
          <w:color w:val="0000FF"/>
          <w:sz w:val="36"/>
          <w:szCs w:val="36"/>
          <w:highlight w:val="cyan"/>
        </w:rPr>
      </w:pPr>
    </w:p>
    <w:p w14:paraId="76FB98D3">
      <w:pPr>
        <w:keepNext/>
        <w:kinsoku w:val="0"/>
        <w:overflowPunct w:val="0"/>
        <w:snapToGrid w:val="0"/>
        <w:spacing w:beforeLines="0" w:afterLines="0" w:line="360" w:lineRule="auto"/>
        <w:ind w:right="2" w:rightChars="1"/>
        <w:jc w:val="center"/>
        <w:textAlignment w:val="baseline"/>
        <w:rPr>
          <w:rFonts w:hint="default" w:hAnsi="宋体"/>
          <w:b/>
          <w:color w:val="0000FF"/>
          <w:sz w:val="36"/>
          <w:szCs w:val="36"/>
          <w:highlight w:val="cyan"/>
        </w:rPr>
      </w:pPr>
    </w:p>
    <w:p w14:paraId="759A580B">
      <w:pPr>
        <w:keepNext/>
        <w:kinsoku w:val="0"/>
        <w:overflowPunct w:val="0"/>
        <w:snapToGrid w:val="0"/>
        <w:spacing w:beforeLines="0" w:afterLines="0" w:line="360" w:lineRule="auto"/>
        <w:ind w:right="2" w:rightChars="1"/>
        <w:jc w:val="center"/>
        <w:textAlignment w:val="baseline"/>
        <w:rPr>
          <w:rFonts w:hint="default" w:hAnsi="宋体"/>
          <w:b/>
          <w:color w:val="0000FF"/>
          <w:sz w:val="36"/>
          <w:szCs w:val="36"/>
          <w:highlight w:val="cyan"/>
        </w:rPr>
      </w:pPr>
    </w:p>
    <w:p w14:paraId="67432601">
      <w:pPr>
        <w:keepNext/>
        <w:kinsoku w:val="0"/>
        <w:overflowPunct w:val="0"/>
        <w:spacing w:beforeLines="0" w:afterLines="0"/>
        <w:ind w:firstLine="3975" w:firstLineChars="900"/>
        <w:rPr>
          <w:rFonts w:hint="eastAsia" w:ascii="仿宋" w:hAnsi="仿宋" w:eastAsia="仿宋" w:cs="仿宋"/>
          <w:b/>
          <w:color w:val="0C0C0C"/>
          <w:sz w:val="28"/>
          <w:szCs w:val="28"/>
        </w:rPr>
      </w:pPr>
      <w:r>
        <w:rPr>
          <w:rFonts w:hint="eastAsia" w:ascii="仿宋" w:hAnsi="仿宋" w:eastAsia="仿宋" w:cs="仿宋"/>
          <w:b/>
          <w:color w:val="0C0C0C"/>
          <w:sz w:val="44"/>
          <w:szCs w:val="44"/>
        </w:rPr>
        <w:t>技术规格书</w:t>
      </w:r>
    </w:p>
    <w:p w14:paraId="156A905E">
      <w:pPr>
        <w:keepNext/>
        <w:kinsoku w:val="0"/>
        <w:overflowPunct w:val="0"/>
        <w:snapToGrid w:val="0"/>
        <w:spacing w:beforeLines="0" w:afterLines="0" w:line="360" w:lineRule="auto"/>
        <w:ind w:right="2" w:rightChars="1" w:firstLine="904" w:firstLineChars="250"/>
        <w:rPr>
          <w:rFonts w:hint="default" w:hAnsi="宋体" w:cs="Times New Roman"/>
          <w:b/>
          <w:color w:val="0000FF"/>
          <w:sz w:val="36"/>
          <w:szCs w:val="36"/>
        </w:rPr>
      </w:pPr>
    </w:p>
    <w:p w14:paraId="7FF1971E">
      <w:pPr>
        <w:pStyle w:val="10"/>
        <w:keepNext/>
        <w:kinsoku w:val="0"/>
        <w:overflowPunct w:val="0"/>
        <w:spacing w:beforeLines="0" w:afterLines="0"/>
        <w:ind w:left="0" w:firstLine="0" w:firstLineChars="0"/>
        <w:rPr>
          <w:rFonts w:hint="default"/>
          <w:color w:val="0000FF"/>
          <w:sz w:val="28"/>
          <w:szCs w:val="28"/>
          <w:highlight w:val="cyan"/>
        </w:rPr>
      </w:pPr>
    </w:p>
    <w:p w14:paraId="678E8CC1">
      <w:pPr>
        <w:keepNext/>
        <w:kinsoku w:val="0"/>
        <w:overflowPunct w:val="0"/>
        <w:snapToGrid w:val="0"/>
        <w:spacing w:beforeLines="0" w:afterLines="0" w:line="360" w:lineRule="auto"/>
        <w:ind w:right="2" w:rightChars="1"/>
        <w:jc w:val="center"/>
        <w:textAlignment w:val="baseline"/>
        <w:rPr>
          <w:rFonts w:hint="default" w:hAnsi="宋体"/>
          <w:b/>
          <w:color w:val="0000FF"/>
          <w:sz w:val="36"/>
          <w:szCs w:val="36"/>
          <w:highlight w:val="cyan"/>
        </w:rPr>
      </w:pPr>
    </w:p>
    <w:p w14:paraId="528F5D0B">
      <w:pPr>
        <w:keepNext/>
        <w:kinsoku w:val="0"/>
        <w:overflowPunct w:val="0"/>
        <w:snapToGrid w:val="0"/>
        <w:spacing w:beforeLines="0" w:afterLines="0" w:line="360" w:lineRule="auto"/>
        <w:ind w:right="2" w:rightChars="1" w:firstLine="703" w:firstLineChars="250"/>
        <w:rPr>
          <w:rFonts w:hint="default" w:hAnsi="宋体"/>
          <w:b/>
          <w:color w:val="0000FF"/>
          <w:sz w:val="28"/>
          <w:szCs w:val="28"/>
          <w:highlight w:val="cyan"/>
        </w:rPr>
      </w:pPr>
    </w:p>
    <w:p w14:paraId="23968DF7">
      <w:pPr>
        <w:keepNext/>
        <w:kinsoku w:val="0"/>
        <w:overflowPunct w:val="0"/>
        <w:snapToGrid w:val="0"/>
        <w:spacing w:beforeLines="0" w:afterLines="0" w:line="360" w:lineRule="auto"/>
        <w:ind w:right="2" w:rightChars="1" w:firstLine="703" w:firstLineChars="250"/>
        <w:rPr>
          <w:rFonts w:hint="default" w:hAnsi="宋体"/>
          <w:b/>
          <w:color w:val="0000FF"/>
          <w:sz w:val="28"/>
          <w:szCs w:val="28"/>
          <w:highlight w:val="cyan"/>
        </w:rPr>
      </w:pPr>
    </w:p>
    <w:p w14:paraId="27A88A84">
      <w:pPr>
        <w:keepNext/>
        <w:kinsoku w:val="0"/>
        <w:overflowPunct w:val="0"/>
        <w:snapToGrid w:val="0"/>
        <w:spacing w:beforeLines="0" w:afterLines="0" w:line="360" w:lineRule="auto"/>
        <w:ind w:right="2" w:rightChars="1" w:firstLine="703" w:firstLineChars="250"/>
        <w:rPr>
          <w:rFonts w:hint="default" w:hAnsi="宋体"/>
          <w:b/>
          <w:color w:val="0000FF"/>
          <w:sz w:val="28"/>
          <w:szCs w:val="28"/>
          <w:highlight w:val="cyan"/>
        </w:rPr>
      </w:pPr>
    </w:p>
    <w:p w14:paraId="1A6B8317">
      <w:pPr>
        <w:keepNext/>
        <w:kinsoku w:val="0"/>
        <w:overflowPunct w:val="0"/>
        <w:snapToGrid w:val="0"/>
        <w:spacing w:beforeLines="0" w:afterLines="0" w:line="360" w:lineRule="auto"/>
        <w:ind w:right="2" w:rightChars="1" w:firstLine="703" w:firstLineChars="250"/>
        <w:rPr>
          <w:rFonts w:hint="default" w:hAnsi="宋体"/>
          <w:b/>
          <w:color w:val="0000FF"/>
          <w:sz w:val="28"/>
          <w:szCs w:val="28"/>
          <w:highlight w:val="cyan"/>
        </w:rPr>
      </w:pPr>
    </w:p>
    <w:p w14:paraId="31476430">
      <w:pPr>
        <w:keepNext/>
        <w:kinsoku w:val="0"/>
        <w:overflowPunct w:val="0"/>
        <w:snapToGrid w:val="0"/>
        <w:spacing w:beforeLines="0" w:afterLines="0" w:line="360" w:lineRule="auto"/>
        <w:ind w:right="2" w:rightChars="1" w:firstLine="703" w:firstLineChars="250"/>
        <w:rPr>
          <w:rFonts w:hint="default" w:hAnsi="宋体"/>
          <w:b/>
          <w:color w:val="0C0C0C"/>
          <w:sz w:val="28"/>
          <w:szCs w:val="28"/>
          <w:highlight w:val="cyan"/>
        </w:rPr>
      </w:pPr>
    </w:p>
    <w:p w14:paraId="787F21E3">
      <w:pPr>
        <w:keepNext/>
        <w:kinsoku w:val="0"/>
        <w:overflowPunct w:val="0"/>
        <w:snapToGrid w:val="0"/>
        <w:spacing w:beforeLines="0" w:afterLines="0" w:line="360" w:lineRule="auto"/>
        <w:ind w:right="2" w:rightChars="1" w:firstLine="1124" w:firstLineChars="400"/>
        <w:rPr>
          <w:rFonts w:hint="default" w:hAnsi="宋体"/>
          <w:b/>
          <w:color w:val="0C0C0C"/>
          <w:sz w:val="28"/>
          <w:szCs w:val="28"/>
        </w:rPr>
      </w:pPr>
      <w:r>
        <w:rPr>
          <w:rFonts w:hint="default" w:hAnsi="宋体"/>
          <w:b/>
          <w:color w:val="0C0C0C"/>
          <w:sz w:val="28"/>
          <w:szCs w:val="28"/>
        </w:rPr>
        <w:t>甲方：酒钢（集团）宏联自控有限责任公司</w:t>
      </w:r>
    </w:p>
    <w:p w14:paraId="0A98FA43">
      <w:pPr>
        <w:keepNext/>
        <w:kinsoku w:val="0"/>
        <w:overflowPunct w:val="0"/>
        <w:snapToGrid w:val="0"/>
        <w:spacing w:beforeLines="0" w:afterLines="0" w:line="360" w:lineRule="auto"/>
        <w:ind w:right="2" w:rightChars="1"/>
        <w:rPr>
          <w:rFonts w:hint="default" w:hAnsi="宋体"/>
          <w:b/>
          <w:color w:val="0C0C0C"/>
          <w:sz w:val="28"/>
          <w:szCs w:val="28"/>
        </w:rPr>
      </w:pPr>
    </w:p>
    <w:p w14:paraId="5A26AAA1">
      <w:pPr>
        <w:keepNext/>
        <w:kinsoku w:val="0"/>
        <w:overflowPunct w:val="0"/>
        <w:snapToGrid w:val="0"/>
        <w:spacing w:beforeLines="0" w:afterLines="0" w:line="360" w:lineRule="auto"/>
        <w:ind w:right="2" w:rightChars="1" w:firstLine="1124" w:firstLineChars="400"/>
        <w:rPr>
          <w:rFonts w:hint="default" w:hAnsi="宋体"/>
          <w:b/>
          <w:color w:val="0C0C0C"/>
          <w:sz w:val="28"/>
          <w:szCs w:val="28"/>
        </w:rPr>
      </w:pPr>
      <w:r>
        <w:rPr>
          <w:rFonts w:hint="default" w:hAnsi="宋体"/>
          <w:b/>
          <w:color w:val="0C0C0C"/>
          <w:sz w:val="28"/>
          <w:szCs w:val="28"/>
        </w:rPr>
        <w:t>乙方：</w:t>
      </w:r>
    </w:p>
    <w:p w14:paraId="287A9CB0">
      <w:pPr>
        <w:pStyle w:val="2"/>
        <w:kinsoku w:val="0"/>
        <w:overflowPunct w:val="0"/>
        <w:spacing w:before="36" w:beforeLines="0" w:afterLines="0"/>
        <w:ind w:left="0" w:right="1259" w:firstLine="0"/>
        <w:jc w:val="both"/>
        <w:rPr>
          <w:rFonts w:hint="default"/>
          <w:sz w:val="32"/>
          <w:szCs w:val="32"/>
          <w:highlight w:val="cyan"/>
        </w:rPr>
      </w:pPr>
    </w:p>
    <w:p w14:paraId="1E4F4BE5">
      <w:pPr>
        <w:pStyle w:val="2"/>
        <w:numPr>
          <w:ilvl w:val="0"/>
          <w:numId w:val="1"/>
        </w:numPr>
        <w:tabs>
          <w:tab w:val="left" w:pos="720"/>
        </w:tabs>
        <w:kinsoku w:val="0"/>
        <w:overflowPunct w:val="0"/>
        <w:spacing w:before="25" w:beforeLines="0" w:afterLines="0" w:line="360" w:lineRule="auto"/>
        <w:jc w:val="both"/>
        <w:rPr>
          <w:rFonts w:hint="default"/>
          <w:spacing w:val="-10"/>
          <w:sz w:val="24"/>
          <w:szCs w:val="24"/>
        </w:rPr>
      </w:pPr>
      <w:bookmarkStart w:id="0" w:name="1 总则"/>
      <w:bookmarkEnd w:id="0"/>
      <w:bookmarkStart w:id="1" w:name="_bookmark0"/>
      <w:bookmarkEnd w:id="1"/>
      <w:r>
        <w:rPr>
          <w:rFonts w:hint="default"/>
          <w:w w:val="95"/>
          <w:sz w:val="24"/>
          <w:szCs w:val="24"/>
        </w:rPr>
        <w:t>总</w:t>
      </w:r>
      <w:r>
        <w:rPr>
          <w:rFonts w:hint="default"/>
          <w:spacing w:val="-10"/>
          <w:sz w:val="24"/>
          <w:szCs w:val="24"/>
        </w:rPr>
        <w:t>则</w:t>
      </w:r>
    </w:p>
    <w:p w14:paraId="29899DE9">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1.1本技术规格书对酒钢宏联自控公司低压配电柜及PLC柜项目设备制作使用提出有关技术要求。</w:t>
      </w:r>
    </w:p>
    <w:p w14:paraId="36A44EF4">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1.2本技术规格书提出的是最低限度的技术要求，并未对一切技术细节作出规定，也未充分引述有关标准和规范的条文，乙方应提供符合本技术规格书和有关工业标准的优质产品。</w:t>
      </w:r>
    </w:p>
    <w:p w14:paraId="72AD0A94">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1.3如果乙方没有以书面形式对本技术规格书的条文提出异议，则意味着乙方提供的设备完全符合本技术规格书的要求。</w:t>
      </w:r>
    </w:p>
    <w:p w14:paraId="28062FC0">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1.4本技术规格书所使用的标准如遇与乙方所执行的标准发生矛盾时，按较高标准执行。</w:t>
      </w:r>
    </w:p>
    <w:p w14:paraId="7B4AE0AA">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1.5在合同签订后，甲方有权提出因标准、规程和规范发生变化而产生的修订要求，具体事宜由甲、乙双方协商确定。</w:t>
      </w:r>
    </w:p>
    <w:p w14:paraId="62C32591">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1.6所有开关柜及回路具体数量，元器件配置，以设计院最终订货图为准。</w:t>
      </w:r>
    </w:p>
    <w:p w14:paraId="5B4ACD2E">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1.7本技术规格书经甲、乙双方确认后作为订货合同的技术附件，与合同正文具有同等效力。</w:t>
      </w:r>
    </w:p>
    <w:p w14:paraId="027B1550">
      <w:pPr>
        <w:pStyle w:val="3"/>
        <w:keepNext/>
        <w:kinsoku w:val="0"/>
        <w:overflowPunct w:val="0"/>
        <w:adjustRightInd/>
        <w:spacing w:beforeLines="0" w:afterLines="0" w:line="360" w:lineRule="auto"/>
        <w:rPr>
          <w:rFonts w:hint="default"/>
          <w:sz w:val="24"/>
          <w:szCs w:val="24"/>
        </w:rPr>
      </w:pPr>
      <w:r>
        <w:rPr>
          <w:rFonts w:hint="default"/>
          <w:b w:val="0"/>
          <w:spacing w:val="-2"/>
          <w:sz w:val="24"/>
          <w:szCs w:val="24"/>
        </w:rPr>
        <w:t>1.8乙方应具有ISO.9001质量保证体系认证证书，具有ISO.14001环境管理体系认证证书及具有AAA级资信等级证书或银行出具A级信用等级证书，并具有相应的试验检测手段，确保提供的设备是质量可靠的、全新的，并符合工艺条件、满足长期使用要求的。</w:t>
      </w:r>
    </w:p>
    <w:p w14:paraId="199552E1">
      <w:pPr>
        <w:pStyle w:val="2"/>
        <w:numPr>
          <w:ilvl w:val="0"/>
          <w:numId w:val="1"/>
        </w:numPr>
        <w:tabs>
          <w:tab w:val="left" w:pos="720"/>
        </w:tabs>
        <w:kinsoku w:val="0"/>
        <w:overflowPunct w:val="0"/>
        <w:spacing w:beforeLines="0" w:afterLines="0" w:line="360" w:lineRule="auto"/>
        <w:rPr>
          <w:rFonts w:hint="default"/>
          <w:spacing w:val="-2"/>
          <w:w w:val="95"/>
          <w:sz w:val="24"/>
          <w:szCs w:val="24"/>
        </w:rPr>
      </w:pPr>
      <w:bookmarkStart w:id="2" w:name="_bookmark5"/>
      <w:bookmarkEnd w:id="2"/>
      <w:bookmarkStart w:id="3" w:name="2 设计条件和环境条件"/>
      <w:bookmarkEnd w:id="3"/>
      <w:bookmarkStart w:id="4" w:name="_bookmark1"/>
      <w:bookmarkEnd w:id="4"/>
      <w:bookmarkStart w:id="5" w:name="1.1 适用范围"/>
      <w:bookmarkEnd w:id="5"/>
      <w:r>
        <w:rPr>
          <w:rFonts w:hint="default"/>
          <w:spacing w:val="-2"/>
          <w:w w:val="95"/>
          <w:sz w:val="24"/>
          <w:szCs w:val="24"/>
        </w:rPr>
        <w:t>设计条件和环境条件</w:t>
      </w:r>
    </w:p>
    <w:p w14:paraId="58FF796C">
      <w:pPr>
        <w:pStyle w:val="3"/>
        <w:numPr>
          <w:ilvl w:val="1"/>
          <w:numId w:val="1"/>
        </w:numPr>
        <w:tabs>
          <w:tab w:val="left" w:pos="927"/>
        </w:tabs>
        <w:kinsoku w:val="0"/>
        <w:overflowPunct w:val="0"/>
        <w:spacing w:before="7" w:beforeLines="0" w:afterLines="0" w:line="360" w:lineRule="auto"/>
        <w:ind w:hanging="529"/>
        <w:rPr>
          <w:rFonts w:hint="default" w:ascii="Arial" w:cs="Arial"/>
          <w:color w:val="000000"/>
          <w:spacing w:val="-3"/>
          <w:w w:val="95"/>
          <w:sz w:val="24"/>
          <w:szCs w:val="24"/>
        </w:rPr>
      </w:pPr>
      <w:bookmarkStart w:id="6" w:name="2.2 地理位置"/>
      <w:bookmarkEnd w:id="6"/>
      <w:bookmarkStart w:id="7" w:name="_bookmark6"/>
      <w:bookmarkEnd w:id="7"/>
      <w:bookmarkStart w:id="8" w:name="2.1 工程概况"/>
      <w:bookmarkEnd w:id="8"/>
      <w:r>
        <w:rPr>
          <w:rFonts w:hint="default"/>
          <w:spacing w:val="-3"/>
          <w:w w:val="95"/>
          <w:sz w:val="24"/>
          <w:szCs w:val="24"/>
        </w:rPr>
        <w:t>地理位置</w:t>
      </w:r>
    </w:p>
    <w:p w14:paraId="71AA7F70">
      <w:pPr>
        <w:pStyle w:val="5"/>
        <w:kinsoku w:val="0"/>
        <w:overflowPunct w:val="0"/>
        <w:spacing w:before="141" w:beforeLines="0" w:afterLines="0" w:line="360" w:lineRule="auto"/>
        <w:ind w:left="398" w:right="703"/>
        <w:jc w:val="both"/>
        <w:rPr>
          <w:rFonts w:hint="default"/>
          <w:spacing w:val="-6"/>
          <w:sz w:val="24"/>
          <w:szCs w:val="24"/>
        </w:rPr>
      </w:pPr>
      <w:r>
        <w:rPr>
          <w:rFonts w:hint="default"/>
          <w:sz w:val="24"/>
          <w:szCs w:val="24"/>
        </w:rPr>
        <w:t>嘉峪关位于甘肃省西北部，东经 98°17′、北纬 39°47′。东临</w:t>
      </w:r>
      <w:r>
        <w:rPr>
          <w:rFonts w:hint="default"/>
          <w:spacing w:val="-4"/>
          <w:sz w:val="24"/>
          <w:szCs w:val="24"/>
        </w:rPr>
        <w:t>酒泉市，西临玉门市，南倚祁连山,与肃南裕固族自治县接壤，北与金塔</w:t>
      </w:r>
      <w:r>
        <w:rPr>
          <w:rFonts w:hint="default"/>
          <w:spacing w:val="-2"/>
          <w:sz w:val="24"/>
          <w:szCs w:val="24"/>
        </w:rPr>
        <w:t>县和内蒙古额济纳旗相连接。项目所在地位于嘉峪关市市区酒钢冶金厂</w:t>
      </w:r>
      <w:r>
        <w:rPr>
          <w:rFonts w:hint="default"/>
          <w:spacing w:val="-6"/>
          <w:sz w:val="24"/>
          <w:szCs w:val="24"/>
        </w:rPr>
        <w:t>区。</w:t>
      </w:r>
    </w:p>
    <w:p w14:paraId="3EE22ED2">
      <w:pPr>
        <w:pStyle w:val="3"/>
        <w:numPr>
          <w:ilvl w:val="1"/>
          <w:numId w:val="1"/>
        </w:numPr>
        <w:tabs>
          <w:tab w:val="left" w:pos="927"/>
        </w:tabs>
        <w:kinsoku w:val="0"/>
        <w:overflowPunct w:val="0"/>
        <w:spacing w:before="4" w:beforeLines="0" w:afterLines="0" w:line="360" w:lineRule="auto"/>
        <w:ind w:hanging="529"/>
        <w:rPr>
          <w:rFonts w:hint="default" w:ascii="Arial" w:cs="Arial"/>
          <w:color w:val="000000"/>
          <w:spacing w:val="-3"/>
          <w:w w:val="95"/>
          <w:sz w:val="24"/>
          <w:szCs w:val="24"/>
        </w:rPr>
      </w:pPr>
      <w:bookmarkStart w:id="9" w:name="2.3 自然条件"/>
      <w:bookmarkEnd w:id="9"/>
      <w:bookmarkStart w:id="10" w:name="_bookmark8"/>
      <w:bookmarkEnd w:id="10"/>
      <w:r>
        <w:rPr>
          <w:rFonts w:hint="default"/>
          <w:spacing w:val="-3"/>
          <w:w w:val="95"/>
          <w:sz w:val="24"/>
          <w:szCs w:val="24"/>
        </w:rPr>
        <w:t>自然条件</w:t>
      </w:r>
    </w:p>
    <w:p w14:paraId="5D96EA96">
      <w:pPr>
        <w:pStyle w:val="13"/>
        <w:numPr>
          <w:ilvl w:val="2"/>
          <w:numId w:val="1"/>
        </w:numPr>
        <w:tabs>
          <w:tab w:val="left" w:pos="1728"/>
        </w:tabs>
        <w:kinsoku w:val="0"/>
        <w:overflowPunct w:val="0"/>
        <w:spacing w:before="143" w:beforeLines="0" w:afterLines="0" w:line="360" w:lineRule="auto"/>
        <w:ind w:left="1728"/>
        <w:rPr>
          <w:rFonts w:hint="default"/>
          <w:color w:val="000000"/>
          <w:spacing w:val="-6"/>
          <w:sz w:val="24"/>
          <w:szCs w:val="24"/>
        </w:rPr>
      </w:pPr>
      <w:r>
        <w:rPr>
          <w:rFonts w:hint="default"/>
          <w:spacing w:val="-6"/>
          <w:sz w:val="24"/>
          <w:szCs w:val="24"/>
        </w:rPr>
        <w:t>气象</w:t>
      </w:r>
    </w:p>
    <w:p w14:paraId="67F13581">
      <w:pPr>
        <w:pStyle w:val="5"/>
        <w:kinsoku w:val="0"/>
        <w:overflowPunct w:val="0"/>
        <w:spacing w:before="140" w:beforeLines="0" w:afterLines="0" w:line="360" w:lineRule="auto"/>
        <w:ind w:left="398" w:right="703"/>
        <w:rPr>
          <w:rFonts w:hint="default"/>
          <w:spacing w:val="-2"/>
          <w:sz w:val="24"/>
          <w:szCs w:val="24"/>
        </w:rPr>
      </w:pPr>
      <w:r>
        <w:rPr>
          <w:rFonts w:hint="default"/>
          <w:spacing w:val="-3"/>
          <w:sz w:val="24"/>
          <w:szCs w:val="24"/>
        </w:rPr>
        <w:t xml:space="preserve">该地区属温带大陆性荒漠气候，年均气温在 </w:t>
      </w:r>
      <w:r>
        <w:rPr>
          <w:rFonts w:hint="default"/>
          <w:sz w:val="24"/>
          <w:szCs w:val="24"/>
        </w:rPr>
        <w:t>6.7℃-7.7℃之间，年</w:t>
      </w:r>
      <w:r>
        <w:rPr>
          <w:rFonts w:hint="default"/>
          <w:spacing w:val="-27"/>
          <w:sz w:val="24"/>
          <w:szCs w:val="24"/>
        </w:rPr>
        <w:t xml:space="preserve">日照 </w:t>
      </w:r>
      <w:r>
        <w:rPr>
          <w:rFonts w:hint="default"/>
          <w:spacing w:val="-4"/>
          <w:sz w:val="24"/>
          <w:szCs w:val="24"/>
        </w:rPr>
        <w:t>8000</w:t>
      </w:r>
      <w:r>
        <w:rPr>
          <w:rFonts w:hint="default"/>
          <w:spacing w:val="-18"/>
          <w:sz w:val="24"/>
          <w:szCs w:val="24"/>
        </w:rPr>
        <w:t xml:space="preserve">小时。自然降水量年平均 </w:t>
      </w:r>
      <w:r>
        <w:rPr>
          <w:rFonts w:hint="default"/>
          <w:spacing w:val="-4"/>
          <w:sz w:val="24"/>
          <w:szCs w:val="24"/>
        </w:rPr>
        <w:t>85.3</w:t>
      </w:r>
      <w:r>
        <w:rPr>
          <w:rFonts w:hint="default"/>
          <w:spacing w:val="-22"/>
          <w:sz w:val="24"/>
          <w:szCs w:val="24"/>
        </w:rPr>
        <w:t xml:space="preserve"> 毫米，蒸发量 </w:t>
      </w:r>
      <w:r>
        <w:rPr>
          <w:rFonts w:hint="default"/>
          <w:spacing w:val="-4"/>
          <w:sz w:val="24"/>
          <w:szCs w:val="24"/>
        </w:rPr>
        <w:t>2149</w:t>
      </w:r>
      <w:r>
        <w:rPr>
          <w:rFonts w:hint="default"/>
          <w:spacing w:val="-16"/>
          <w:sz w:val="24"/>
          <w:szCs w:val="24"/>
        </w:rPr>
        <w:t xml:space="preserve"> 毫米，全年</w:t>
      </w:r>
      <w:r>
        <w:rPr>
          <w:rFonts w:hint="default"/>
          <w:spacing w:val="-19"/>
          <w:sz w:val="24"/>
          <w:szCs w:val="24"/>
        </w:rPr>
        <w:t>无</w:t>
      </w:r>
      <w:r>
        <w:rPr>
          <w:rFonts w:hint="default"/>
          <w:spacing w:val="-2"/>
          <w:sz w:val="24"/>
          <w:szCs w:val="24"/>
        </w:rPr>
        <w:t>霜期 130 天左右。厂区所在地区为雨量小、蒸发大、温差大、多风沙的内陆干旱气候。</w:t>
      </w:r>
    </w:p>
    <w:p w14:paraId="2D636E98">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（1）气温</w:t>
      </w:r>
    </w:p>
    <w:p w14:paraId="5FBCCD29">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最高温度：38.4℃最低温度：-31.6℃</w:t>
      </w:r>
    </w:p>
    <w:p w14:paraId="62FC554E">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夏季最高平均温度：28.7℃冬季最低平均温度：-15.6℃  日最大温差：14℃</w:t>
      </w:r>
    </w:p>
    <w:p w14:paraId="5F1B89E1">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年平均温度：7.3℃</w:t>
      </w:r>
    </w:p>
    <w:p w14:paraId="45E01F14">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冬季采暖室外计算温度：-14.5℃通风室外计算温度：夏季 26.3℃  冬季 -9ºC</w:t>
      </w:r>
    </w:p>
    <w:p w14:paraId="18019837">
      <w:pPr>
        <w:pStyle w:val="3"/>
        <w:keepNext/>
        <w:kinsoku w:val="0"/>
        <w:overflowPunct w:val="0"/>
        <w:adjustRightInd/>
        <w:spacing w:beforeLines="0" w:afterLines="0" w:line="360" w:lineRule="auto"/>
        <w:rPr>
          <w:rFonts w:hint="default"/>
          <w:b w:val="0"/>
          <w:spacing w:val="-2"/>
          <w:sz w:val="24"/>
          <w:szCs w:val="24"/>
        </w:rPr>
      </w:pPr>
      <w:r>
        <w:rPr>
          <w:rFonts w:hint="default"/>
          <w:b w:val="0"/>
          <w:spacing w:val="-2"/>
          <w:sz w:val="24"/>
          <w:szCs w:val="24"/>
        </w:rPr>
        <w:t xml:space="preserve">(2)相对湿度 相对湿度：46%  夏季平均湿度：52%  冬季平均湿度：55% </w:t>
      </w:r>
    </w:p>
    <w:p w14:paraId="71CCF362">
      <w:pPr>
        <w:pStyle w:val="13"/>
        <w:numPr>
          <w:ilvl w:val="2"/>
          <w:numId w:val="1"/>
        </w:numPr>
        <w:tabs>
          <w:tab w:val="left" w:pos="1728"/>
        </w:tabs>
        <w:kinsoku w:val="0"/>
        <w:overflowPunct w:val="0"/>
        <w:spacing w:before="140" w:beforeLines="0" w:afterLines="0" w:line="360" w:lineRule="auto"/>
        <w:ind w:left="1728"/>
        <w:rPr>
          <w:rFonts w:hint="default"/>
          <w:color w:val="000000"/>
          <w:spacing w:val="-4"/>
          <w:sz w:val="24"/>
          <w:szCs w:val="24"/>
        </w:rPr>
      </w:pPr>
      <w:r>
        <w:rPr>
          <w:rFonts w:hint="default"/>
          <w:spacing w:val="-4"/>
          <w:sz w:val="24"/>
          <w:szCs w:val="24"/>
        </w:rPr>
        <w:t>建设场地</w:t>
      </w:r>
    </w:p>
    <w:p w14:paraId="5DE79CC5">
      <w:pPr>
        <w:pStyle w:val="5"/>
        <w:kinsoku w:val="0"/>
        <w:overflowPunct w:val="0"/>
        <w:spacing w:before="143" w:beforeLines="0" w:afterLines="0" w:line="360" w:lineRule="auto"/>
        <w:ind w:left="398" w:right="564"/>
        <w:rPr>
          <w:rFonts w:hint="default"/>
          <w:spacing w:val="-6"/>
          <w:sz w:val="24"/>
          <w:szCs w:val="24"/>
        </w:rPr>
      </w:pPr>
      <w:r>
        <w:rPr>
          <w:rFonts w:hint="default"/>
          <w:spacing w:val="-2"/>
          <w:sz w:val="24"/>
          <w:szCs w:val="24"/>
        </w:rPr>
        <w:t>地质构造简单，岩层单一，自地表起为第四纪冲积而成的卵石层，</w:t>
      </w:r>
      <w:r>
        <w:rPr>
          <w:rFonts w:hint="default"/>
          <w:spacing w:val="-15"/>
          <w:sz w:val="24"/>
          <w:szCs w:val="24"/>
        </w:rPr>
        <w:t xml:space="preserve">厚度大于 </w:t>
      </w:r>
      <w:r>
        <w:rPr>
          <w:rFonts w:hint="default"/>
          <w:spacing w:val="24"/>
          <w:sz w:val="24"/>
          <w:szCs w:val="24"/>
        </w:rPr>
        <w:t>1</w:t>
      </w:r>
      <w:r>
        <w:rPr>
          <w:rFonts w:hint="default"/>
          <w:spacing w:val="27"/>
          <w:sz w:val="24"/>
          <w:szCs w:val="24"/>
        </w:rPr>
        <w:t>0</w:t>
      </w:r>
      <w:r>
        <w:rPr>
          <w:rFonts w:hint="default"/>
          <w:spacing w:val="24"/>
          <w:sz w:val="24"/>
          <w:szCs w:val="24"/>
        </w:rPr>
        <w:t>0m</w:t>
      </w:r>
      <w:r>
        <w:rPr>
          <w:rFonts w:hint="default"/>
          <w:spacing w:val="-24"/>
          <w:sz w:val="24"/>
          <w:szCs w:val="24"/>
        </w:rPr>
        <w:t xml:space="preserve">，卵石主要由沉积岩碎块组成，成亚圆形，一般粒径为 </w:t>
      </w:r>
      <w:r>
        <w:rPr>
          <w:rFonts w:hint="default"/>
          <w:sz w:val="24"/>
          <w:szCs w:val="24"/>
        </w:rPr>
        <w:t xml:space="preserve">30～ </w:t>
      </w:r>
      <w:r>
        <w:rPr>
          <w:rFonts w:hint="default"/>
          <w:spacing w:val="-4"/>
          <w:sz w:val="24"/>
          <w:szCs w:val="24"/>
        </w:rPr>
        <w:t>70mm</w:t>
      </w:r>
      <w:r>
        <w:rPr>
          <w:rFonts w:hint="default"/>
          <w:spacing w:val="-14"/>
          <w:sz w:val="24"/>
          <w:szCs w:val="24"/>
        </w:rPr>
        <w:t xml:space="preserve">，最大量为 </w:t>
      </w:r>
      <w:r>
        <w:rPr>
          <w:rFonts w:hint="default"/>
          <w:spacing w:val="-4"/>
          <w:sz w:val="24"/>
          <w:szCs w:val="24"/>
        </w:rPr>
        <w:t>180mm</w:t>
      </w:r>
      <w:r>
        <w:rPr>
          <w:rFonts w:hint="default"/>
          <w:spacing w:val="-7"/>
          <w:sz w:val="24"/>
          <w:szCs w:val="24"/>
        </w:rPr>
        <w:t xml:space="preserve">，碎石坚固，空隙充填中密－密实的中砂约 </w:t>
      </w:r>
      <w:r>
        <w:rPr>
          <w:rFonts w:hint="default"/>
          <w:spacing w:val="-4"/>
          <w:sz w:val="24"/>
          <w:szCs w:val="24"/>
        </w:rPr>
        <w:t>30％；混少量漂石，卵石堆放致密，且多被钙制胶结，处于半胶结－胶结状态，</w:t>
      </w:r>
      <w:r>
        <w:rPr>
          <w:rFonts w:hint="default"/>
          <w:spacing w:val="-3"/>
          <w:sz w:val="24"/>
          <w:szCs w:val="24"/>
        </w:rPr>
        <w:t xml:space="preserve">地下水位埋深在 </w:t>
      </w:r>
      <w:r>
        <w:rPr>
          <w:rFonts w:hint="default"/>
          <w:sz w:val="24"/>
          <w:szCs w:val="24"/>
        </w:rPr>
        <w:t>100m</w:t>
      </w:r>
      <w:r>
        <w:rPr>
          <w:rFonts w:hint="default"/>
          <w:spacing w:val="-6"/>
          <w:sz w:val="24"/>
          <w:szCs w:val="24"/>
        </w:rPr>
        <w:t xml:space="preserve"> 以下。</w:t>
      </w:r>
    </w:p>
    <w:p w14:paraId="4B2EBFB1">
      <w:pPr>
        <w:pStyle w:val="5"/>
        <w:kinsoku w:val="0"/>
        <w:overflowPunct w:val="0"/>
        <w:spacing w:before="5" w:beforeLines="0" w:afterLines="0" w:line="360" w:lineRule="auto"/>
        <w:ind w:left="398" w:right="744"/>
        <w:rPr>
          <w:rFonts w:hint="default"/>
          <w:spacing w:val="-2"/>
          <w:sz w:val="24"/>
          <w:szCs w:val="24"/>
        </w:rPr>
      </w:pPr>
      <w:r>
        <w:rPr>
          <w:rFonts w:hint="default"/>
          <w:spacing w:val="-2"/>
          <w:sz w:val="24"/>
          <w:szCs w:val="24"/>
        </w:rPr>
        <w:t>因地基土壤是孔隙为砂所充填的卵石，因此，土壤的物理力学性能较好，地基承载能力：500KPa，渗透性能好。</w:t>
      </w:r>
    </w:p>
    <w:p w14:paraId="2072BE77">
      <w:pPr>
        <w:pStyle w:val="13"/>
        <w:numPr>
          <w:ilvl w:val="2"/>
          <w:numId w:val="1"/>
        </w:numPr>
        <w:tabs>
          <w:tab w:val="left" w:pos="1798"/>
        </w:tabs>
        <w:kinsoku w:val="0"/>
        <w:overflowPunct w:val="0"/>
        <w:spacing w:beforeLines="0" w:afterLines="0" w:line="360" w:lineRule="auto"/>
        <w:ind w:left="1797" w:hanging="841"/>
        <w:rPr>
          <w:rFonts w:hint="default"/>
          <w:color w:val="000000"/>
          <w:spacing w:val="-4"/>
          <w:sz w:val="24"/>
          <w:szCs w:val="24"/>
        </w:rPr>
      </w:pPr>
      <w:r>
        <w:rPr>
          <w:rFonts w:hint="default"/>
          <w:spacing w:val="-4"/>
          <w:sz w:val="24"/>
          <w:szCs w:val="24"/>
        </w:rPr>
        <w:t>地震烈度</w:t>
      </w:r>
    </w:p>
    <w:p w14:paraId="032C7F5F">
      <w:pPr>
        <w:pStyle w:val="5"/>
        <w:kinsoku w:val="0"/>
        <w:overflowPunct w:val="0"/>
        <w:spacing w:before="140" w:beforeLines="0" w:afterLines="0" w:line="360" w:lineRule="auto"/>
        <w:ind w:left="398" w:right="564"/>
        <w:rPr>
          <w:rFonts w:hint="default"/>
          <w:spacing w:val="-2"/>
          <w:sz w:val="24"/>
          <w:szCs w:val="24"/>
        </w:rPr>
      </w:pPr>
      <w:r>
        <w:rPr>
          <w:rFonts w:hint="default"/>
          <w:spacing w:val="-2"/>
          <w:sz w:val="24"/>
          <w:szCs w:val="24"/>
        </w:rPr>
        <w:t>根据《中国地震动参数区划图》（GB18306-2015），拟建场地的抗</w:t>
      </w:r>
      <w:r>
        <w:rPr>
          <w:rFonts w:hint="default"/>
          <w:spacing w:val="-7"/>
          <w:sz w:val="24"/>
          <w:szCs w:val="24"/>
        </w:rPr>
        <w:t xml:space="preserve">震设防烈度为 </w:t>
      </w:r>
      <w:r>
        <w:rPr>
          <w:rFonts w:hint="default"/>
          <w:spacing w:val="-2"/>
          <w:sz w:val="24"/>
          <w:szCs w:val="24"/>
        </w:rPr>
        <w:t>8</w:t>
      </w:r>
      <w:r>
        <w:rPr>
          <w:rFonts w:hint="default"/>
          <w:spacing w:val="-47"/>
          <w:sz w:val="24"/>
          <w:szCs w:val="24"/>
        </w:rPr>
        <w:t xml:space="preserve"> 度</w:t>
      </w:r>
      <w:r>
        <w:rPr>
          <w:rFonts w:hint="default"/>
          <w:spacing w:val="-2"/>
          <w:sz w:val="24"/>
          <w:szCs w:val="24"/>
        </w:rPr>
        <w:t>（0.2g），</w:t>
      </w:r>
      <w:r>
        <w:rPr>
          <w:rFonts w:hint="default"/>
          <w:spacing w:val="-8"/>
          <w:sz w:val="24"/>
          <w:szCs w:val="24"/>
        </w:rPr>
        <w:t xml:space="preserve">水平加速度 </w:t>
      </w:r>
      <w:r>
        <w:rPr>
          <w:rFonts w:hint="default"/>
          <w:spacing w:val="-2"/>
          <w:sz w:val="24"/>
          <w:szCs w:val="24"/>
        </w:rPr>
        <w:t>0.165g</w:t>
      </w:r>
      <w:r>
        <w:rPr>
          <w:rFonts w:hint="default"/>
          <w:spacing w:val="-7"/>
          <w:sz w:val="24"/>
          <w:szCs w:val="24"/>
        </w:rPr>
        <w:t xml:space="preserve">，垂直加速度 </w:t>
      </w:r>
      <w:r>
        <w:rPr>
          <w:rFonts w:hint="default"/>
          <w:spacing w:val="-2"/>
          <w:sz w:val="24"/>
          <w:szCs w:val="24"/>
        </w:rPr>
        <w:t>0.083g。</w:t>
      </w:r>
    </w:p>
    <w:p w14:paraId="7055669D">
      <w:pPr>
        <w:pStyle w:val="13"/>
        <w:numPr>
          <w:ilvl w:val="2"/>
          <w:numId w:val="1"/>
        </w:numPr>
        <w:tabs>
          <w:tab w:val="left" w:pos="1798"/>
        </w:tabs>
        <w:kinsoku w:val="0"/>
        <w:overflowPunct w:val="0"/>
        <w:spacing w:before="4" w:beforeLines="0" w:afterLines="0" w:line="360" w:lineRule="auto"/>
        <w:ind w:left="1797" w:hanging="841"/>
        <w:rPr>
          <w:rFonts w:hint="default"/>
          <w:color w:val="000000"/>
          <w:spacing w:val="-4"/>
          <w:sz w:val="24"/>
          <w:szCs w:val="24"/>
        </w:rPr>
      </w:pPr>
      <w:r>
        <w:rPr>
          <w:rFonts w:hint="default"/>
          <w:spacing w:val="-4"/>
          <w:sz w:val="24"/>
          <w:szCs w:val="24"/>
        </w:rPr>
        <w:t>设计条件</w:t>
      </w:r>
    </w:p>
    <w:p w14:paraId="15C2B9AF">
      <w:pPr>
        <w:pStyle w:val="5"/>
        <w:kinsoku w:val="0"/>
        <w:overflowPunct w:val="0"/>
        <w:spacing w:before="140" w:beforeLines="0" w:afterLines="0" w:line="360" w:lineRule="auto"/>
        <w:ind w:left="957" w:right="5926" w:firstLine="0"/>
        <w:jc w:val="both"/>
        <w:rPr>
          <w:rFonts w:hint="default"/>
          <w:spacing w:val="-2"/>
          <w:sz w:val="24"/>
          <w:szCs w:val="24"/>
        </w:rPr>
      </w:pPr>
      <w:r>
        <w:rPr>
          <w:rFonts w:hint="default"/>
          <w:spacing w:val="-2"/>
          <w:sz w:val="24"/>
          <w:szCs w:val="24"/>
        </w:rPr>
        <w:t>基本风荷载：0.65kN/㎡基本雪荷载：0.25kN/m</w:t>
      </w:r>
    </w:p>
    <w:p w14:paraId="5C77BEDF">
      <w:pPr>
        <w:pStyle w:val="5"/>
        <w:kinsoku w:val="0"/>
        <w:overflowPunct w:val="0"/>
        <w:spacing w:before="140" w:beforeLines="0" w:afterLines="0" w:line="360" w:lineRule="auto"/>
        <w:ind w:left="0" w:right="5926" w:firstLine="960" w:firstLineChars="400"/>
        <w:jc w:val="both"/>
        <w:rPr>
          <w:rFonts w:hint="default"/>
          <w:sz w:val="24"/>
          <w:szCs w:val="24"/>
        </w:rPr>
      </w:pPr>
      <w:r>
        <w:rPr>
          <w:rFonts w:hint="default"/>
          <w:sz w:val="24"/>
          <w:szCs w:val="24"/>
        </w:rPr>
        <w:t>抗震设防烈度：8 度</w:t>
      </w:r>
    </w:p>
    <w:p w14:paraId="5AFE4673">
      <w:pPr>
        <w:pStyle w:val="5"/>
        <w:kinsoku w:val="0"/>
        <w:overflowPunct w:val="0"/>
        <w:spacing w:before="4" w:beforeLines="0" w:afterLines="0" w:line="360" w:lineRule="auto"/>
        <w:ind w:left="957" w:right="4805" w:firstLine="0"/>
        <w:jc w:val="both"/>
        <w:rPr>
          <w:rFonts w:hint="default"/>
          <w:spacing w:val="-26"/>
          <w:sz w:val="24"/>
          <w:szCs w:val="24"/>
        </w:rPr>
      </w:pPr>
      <w:r>
        <w:rPr>
          <w:rFonts w:hint="default"/>
          <w:spacing w:val="-3"/>
          <w:sz w:val="24"/>
          <w:szCs w:val="24"/>
        </w:rPr>
        <w:t>冬季通风室外计算温度： -</w:t>
      </w:r>
      <w:r>
        <w:rPr>
          <w:rFonts w:hint="default"/>
          <w:sz w:val="24"/>
          <w:szCs w:val="24"/>
        </w:rPr>
        <w:t>9.0℃</w:t>
      </w:r>
      <w:r>
        <w:rPr>
          <w:rFonts w:hint="default"/>
          <w:spacing w:val="-2"/>
          <w:sz w:val="24"/>
          <w:szCs w:val="24"/>
        </w:rPr>
        <w:t>夏季通风室外计算温度：26.3℃</w:t>
      </w:r>
    </w:p>
    <w:p w14:paraId="5D9F915F">
      <w:pPr>
        <w:pStyle w:val="3"/>
        <w:numPr>
          <w:ilvl w:val="1"/>
          <w:numId w:val="1"/>
        </w:numPr>
        <w:tabs>
          <w:tab w:val="left" w:pos="927"/>
        </w:tabs>
        <w:kinsoku w:val="0"/>
        <w:overflowPunct w:val="0"/>
        <w:spacing w:before="4" w:beforeLines="0" w:afterLines="0" w:line="360" w:lineRule="auto"/>
        <w:ind w:hanging="529"/>
        <w:rPr>
          <w:rFonts w:hint="default" w:ascii="Arial" w:cs="Arial"/>
          <w:color w:val="000000"/>
          <w:spacing w:val="-2"/>
          <w:w w:val="95"/>
          <w:sz w:val="24"/>
          <w:szCs w:val="24"/>
        </w:rPr>
      </w:pPr>
      <w:r>
        <w:rPr>
          <w:rFonts w:hint="default"/>
          <w:spacing w:val="-2"/>
          <w:w w:val="95"/>
          <w:sz w:val="24"/>
          <w:szCs w:val="24"/>
        </w:rPr>
        <w:t>公共系统技术条件</w:t>
      </w:r>
    </w:p>
    <w:p w14:paraId="5773A6F1">
      <w:pPr>
        <w:pStyle w:val="13"/>
        <w:numPr>
          <w:ilvl w:val="2"/>
          <w:numId w:val="1"/>
        </w:numPr>
        <w:tabs>
          <w:tab w:val="left" w:pos="1798"/>
        </w:tabs>
        <w:kinsoku w:val="0"/>
        <w:overflowPunct w:val="0"/>
        <w:spacing w:before="140" w:beforeLines="0" w:afterLines="0" w:line="360" w:lineRule="auto"/>
        <w:ind w:left="1797" w:hanging="841"/>
        <w:rPr>
          <w:rFonts w:hint="default"/>
          <w:color w:val="000000"/>
          <w:spacing w:val="-4"/>
          <w:sz w:val="24"/>
          <w:szCs w:val="24"/>
        </w:rPr>
      </w:pPr>
      <w:r>
        <w:rPr>
          <w:rFonts w:hint="default"/>
          <w:spacing w:val="-4"/>
          <w:sz w:val="24"/>
          <w:szCs w:val="24"/>
        </w:rPr>
        <w:t>供电条件</w:t>
      </w:r>
    </w:p>
    <w:p w14:paraId="58610575">
      <w:pPr>
        <w:pStyle w:val="5"/>
        <w:kinsoku w:val="0"/>
        <w:overflowPunct w:val="0"/>
        <w:spacing w:before="141" w:beforeLines="0" w:afterLines="0" w:line="360" w:lineRule="auto"/>
        <w:ind w:left="957" w:right="883" w:firstLine="0"/>
        <w:rPr>
          <w:rFonts w:hint="default"/>
          <w:spacing w:val="-2"/>
          <w:sz w:val="24"/>
          <w:szCs w:val="24"/>
        </w:rPr>
      </w:pPr>
      <w:r>
        <w:rPr>
          <w:rFonts w:hint="default"/>
          <w:spacing w:val="-2"/>
          <w:sz w:val="24"/>
          <w:szCs w:val="24"/>
        </w:rPr>
        <w:t>低压供电电压：380V±10%AC，TN-S，50Hz±0.5%</w:t>
      </w:r>
    </w:p>
    <w:p w14:paraId="4655EE46">
      <w:pPr>
        <w:pStyle w:val="5"/>
        <w:kinsoku w:val="0"/>
        <w:overflowPunct w:val="0"/>
        <w:spacing w:beforeLines="0" w:afterLines="0" w:line="360" w:lineRule="auto"/>
        <w:ind w:left="957" w:right="2845" w:firstLine="0"/>
        <w:rPr>
          <w:rFonts w:hint="default"/>
          <w:spacing w:val="-2"/>
          <w:sz w:val="24"/>
          <w:szCs w:val="24"/>
        </w:rPr>
      </w:pPr>
      <w:r>
        <w:rPr>
          <w:rFonts w:hint="default"/>
          <w:spacing w:val="-2"/>
          <w:sz w:val="24"/>
          <w:szCs w:val="24"/>
        </w:rPr>
        <w:t>高低压系统控制电压：220VAC±10%；50Hz±0.5%</w:t>
      </w:r>
    </w:p>
    <w:p w14:paraId="313EFB54">
      <w:pPr>
        <w:pStyle w:val="5"/>
        <w:kinsoku w:val="0"/>
        <w:overflowPunct w:val="0"/>
        <w:spacing w:beforeLines="0" w:afterLines="0" w:line="360" w:lineRule="auto"/>
        <w:ind w:left="957" w:right="2845" w:firstLine="0"/>
        <w:rPr>
          <w:rFonts w:hint="default"/>
          <w:spacing w:val="-2"/>
          <w:sz w:val="24"/>
          <w:szCs w:val="24"/>
        </w:rPr>
      </w:pPr>
      <w:r>
        <w:rPr>
          <w:rFonts w:hint="default"/>
          <w:spacing w:val="-2"/>
          <w:sz w:val="24"/>
          <w:szCs w:val="24"/>
        </w:rPr>
        <w:t>一般照明电压：220VAC；</w:t>
      </w:r>
    </w:p>
    <w:p w14:paraId="458E8177">
      <w:pPr>
        <w:pStyle w:val="5"/>
        <w:kinsoku w:val="0"/>
        <w:overflowPunct w:val="0"/>
        <w:spacing w:beforeLines="0" w:afterLines="0" w:line="360" w:lineRule="auto"/>
        <w:ind w:left="957" w:firstLine="0"/>
        <w:rPr>
          <w:rFonts w:hint="default"/>
          <w:spacing w:val="-2"/>
          <w:sz w:val="24"/>
          <w:szCs w:val="24"/>
        </w:rPr>
      </w:pPr>
      <w:r>
        <w:rPr>
          <w:rFonts w:hint="default"/>
          <w:spacing w:val="-2"/>
          <w:sz w:val="24"/>
          <w:szCs w:val="24"/>
        </w:rPr>
        <w:t>安全照明电压：36VDC</w:t>
      </w:r>
    </w:p>
    <w:p w14:paraId="7DC21DB5">
      <w:pPr>
        <w:pStyle w:val="2"/>
        <w:keepNext/>
        <w:keepLines/>
        <w:numPr>
          <w:ilvl w:val="0"/>
          <w:numId w:val="1"/>
        </w:numPr>
        <w:tabs>
          <w:tab w:val="left" w:pos="720"/>
        </w:tabs>
        <w:kinsoku w:val="0"/>
        <w:overflowPunct w:val="0"/>
        <w:spacing w:before="85" w:beforeLines="0" w:afterLines="0" w:line="360" w:lineRule="auto"/>
        <w:jc w:val="both"/>
        <w:rPr>
          <w:rFonts w:hint="default"/>
          <w:color w:val="000000"/>
          <w:spacing w:val="-3"/>
          <w:sz w:val="24"/>
          <w:szCs w:val="24"/>
        </w:rPr>
      </w:pPr>
      <w:r>
        <w:rPr>
          <w:rFonts w:hint="default"/>
          <w:spacing w:val="-3"/>
          <w:w w:val="95"/>
          <w:sz w:val="24"/>
          <w:szCs w:val="24"/>
        </w:rPr>
        <w:t>主要供货范围</w:t>
      </w:r>
      <w:bookmarkStart w:id="11" w:name="4.1 一般要求"/>
      <w:bookmarkEnd w:id="11"/>
      <w:bookmarkStart w:id="12" w:name="_bookmark12"/>
      <w:bookmarkEnd w:id="12"/>
      <w:bookmarkStart w:id="13" w:name="_bookmark13"/>
      <w:bookmarkEnd w:id="13"/>
      <w:bookmarkStart w:id="14" w:name="4.2 基本供货范围"/>
      <w:bookmarkEnd w:id="14"/>
    </w:p>
    <w:tbl>
      <w:tblPr>
        <w:tblStyle w:val="11"/>
        <w:tblW w:w="87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3"/>
        <w:gridCol w:w="1340"/>
        <w:gridCol w:w="3940"/>
        <w:gridCol w:w="604"/>
        <w:gridCol w:w="739"/>
        <w:gridCol w:w="1299"/>
      </w:tblGrid>
      <w:tr w14:paraId="6B2D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jc w:val="center"/>
        </w:trPr>
        <w:tc>
          <w:tcPr>
            <w:tcW w:w="84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ADD7ED6">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序号</w:t>
            </w:r>
          </w:p>
        </w:tc>
        <w:tc>
          <w:tcPr>
            <w:tcW w:w="13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AD9892E">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设备名称</w:t>
            </w:r>
          </w:p>
        </w:tc>
        <w:tc>
          <w:tcPr>
            <w:tcW w:w="39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7E95C2F">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规格型号</w:t>
            </w:r>
          </w:p>
        </w:tc>
        <w:tc>
          <w:tcPr>
            <w:tcW w:w="60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A57D13D">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单位</w:t>
            </w:r>
          </w:p>
        </w:tc>
        <w:tc>
          <w:tcPr>
            <w:tcW w:w="73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2694812">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数量</w:t>
            </w:r>
          </w:p>
        </w:tc>
        <w:tc>
          <w:tcPr>
            <w:tcW w:w="129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85682D6">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备注</w:t>
            </w:r>
          </w:p>
        </w:tc>
      </w:tr>
      <w:tr w14:paraId="158AC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84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1E1E818">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1</w:t>
            </w:r>
          </w:p>
        </w:tc>
        <w:tc>
          <w:tcPr>
            <w:tcW w:w="13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3E44B94">
            <w:pPr>
              <w:widowControl/>
              <w:spacing w:beforeLines="0" w:afterLines="0" w:line="360" w:lineRule="auto"/>
              <w:jc w:val="center"/>
              <w:textAlignment w:val="center"/>
              <w:rPr>
                <w:rFonts w:hint="default" w:hAnsi="宋体"/>
                <w:color w:val="0C0C0C"/>
                <w:spacing w:val="-3"/>
                <w:sz w:val="22"/>
                <w:szCs w:val="22"/>
              </w:rPr>
            </w:pPr>
            <w:r>
              <w:rPr>
                <w:rFonts w:hint="default" w:hAnsi="宋体"/>
                <w:color w:val="0C0C0C"/>
                <w:spacing w:val="-3"/>
                <w:sz w:val="22"/>
                <w:szCs w:val="22"/>
              </w:rPr>
              <w:t>配电柜</w:t>
            </w:r>
          </w:p>
        </w:tc>
        <w:tc>
          <w:tcPr>
            <w:tcW w:w="39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264EC04">
            <w:pPr>
              <w:widowControl/>
              <w:spacing w:beforeLines="0" w:afterLines="0" w:line="360" w:lineRule="auto"/>
              <w:jc w:val="center"/>
              <w:textAlignment w:val="center"/>
              <w:rPr>
                <w:rFonts w:hint="default" w:hAnsi="宋体"/>
                <w:color w:val="0C0C0C"/>
                <w:spacing w:val="-3"/>
                <w:sz w:val="22"/>
                <w:szCs w:val="22"/>
              </w:rPr>
            </w:pPr>
            <w:r>
              <w:rPr>
                <w:rFonts w:hint="default" w:hAnsi="宋体"/>
                <w:color w:val="0C0C0C"/>
                <w:spacing w:val="-3"/>
                <w:sz w:val="22"/>
                <w:szCs w:val="22"/>
              </w:rPr>
              <w:t>配电柜\XL-21改-630A 户内 1P54 冷轧钢板</w:t>
            </w:r>
          </w:p>
        </w:tc>
        <w:tc>
          <w:tcPr>
            <w:tcW w:w="60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E279EC6">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台</w:t>
            </w:r>
          </w:p>
        </w:tc>
        <w:tc>
          <w:tcPr>
            <w:tcW w:w="73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C9FD612">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4</w:t>
            </w:r>
          </w:p>
        </w:tc>
        <w:tc>
          <w:tcPr>
            <w:tcW w:w="1299" w:type="dxa"/>
            <w:vMerge w:val="restart"/>
            <w:tcBorders>
              <w:top w:val="single" w:color="000000" w:sz="4" w:space="0"/>
              <w:left w:val="single" w:color="000000" w:sz="4" w:space="0"/>
              <w:bottom w:val="nil"/>
              <w:right w:val="single" w:color="000000" w:sz="4" w:space="0"/>
              <w:tl2br w:val="nil"/>
              <w:tr2bl w:val="nil"/>
            </w:tcBorders>
            <w:noWrap/>
            <w:vAlign w:val="center"/>
          </w:tcPr>
          <w:p w14:paraId="6925BB67">
            <w:pPr>
              <w:widowControl/>
              <w:spacing w:beforeLines="0" w:afterLines="0" w:line="360" w:lineRule="auto"/>
              <w:jc w:val="center"/>
              <w:textAlignment w:val="center"/>
              <w:rPr>
                <w:rFonts w:hint="default" w:hAnsi="宋体"/>
                <w:color w:val="0C0C0C"/>
                <w:spacing w:val="-3"/>
                <w:sz w:val="24"/>
                <w:szCs w:val="24"/>
                <w:highlight w:val="cyan"/>
              </w:rPr>
            </w:pPr>
          </w:p>
        </w:tc>
      </w:tr>
      <w:tr w14:paraId="47971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84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6226AA2">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2</w:t>
            </w:r>
          </w:p>
        </w:tc>
        <w:tc>
          <w:tcPr>
            <w:tcW w:w="13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85054F">
            <w:pPr>
              <w:widowControl/>
              <w:spacing w:beforeLines="0" w:afterLines="0" w:line="360" w:lineRule="auto"/>
              <w:jc w:val="center"/>
              <w:textAlignment w:val="center"/>
              <w:rPr>
                <w:rFonts w:hint="default" w:hAnsi="宋体"/>
                <w:color w:val="0C0C0C"/>
                <w:spacing w:val="-3"/>
                <w:sz w:val="22"/>
                <w:szCs w:val="22"/>
              </w:rPr>
            </w:pPr>
            <w:r>
              <w:rPr>
                <w:rFonts w:hint="default" w:hAnsi="宋体"/>
                <w:color w:val="0C0C0C"/>
                <w:spacing w:val="-3"/>
                <w:sz w:val="22"/>
                <w:szCs w:val="22"/>
              </w:rPr>
              <w:t>PLC柜</w:t>
            </w:r>
          </w:p>
        </w:tc>
        <w:tc>
          <w:tcPr>
            <w:tcW w:w="39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E8790C5">
            <w:pPr>
              <w:widowControl/>
              <w:spacing w:beforeLines="0" w:afterLines="0" w:line="360" w:lineRule="auto"/>
              <w:jc w:val="center"/>
              <w:textAlignment w:val="center"/>
              <w:rPr>
                <w:rFonts w:hint="default" w:hAnsi="宋体"/>
                <w:color w:val="0C0C0C"/>
                <w:spacing w:val="-3"/>
                <w:sz w:val="22"/>
                <w:szCs w:val="22"/>
              </w:rPr>
            </w:pPr>
            <w:r>
              <w:rPr>
                <w:rFonts w:hint="default" w:hAnsi="宋体"/>
                <w:color w:val="0C0C0C"/>
                <w:spacing w:val="-3"/>
                <w:sz w:val="22"/>
                <w:szCs w:val="22"/>
              </w:rPr>
              <w:t>PLC柜\1000x800x2200 0.25kV 40A 10KW 成套设备+设计图纸+技术规格书</w:t>
            </w:r>
          </w:p>
        </w:tc>
        <w:tc>
          <w:tcPr>
            <w:tcW w:w="60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5403A57">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台</w:t>
            </w:r>
          </w:p>
        </w:tc>
        <w:tc>
          <w:tcPr>
            <w:tcW w:w="73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FFD6223">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1</w:t>
            </w:r>
          </w:p>
        </w:tc>
        <w:tc>
          <w:tcPr>
            <w:tcW w:w="1299" w:type="dxa"/>
            <w:vMerge w:val="continue"/>
            <w:tcBorders>
              <w:top w:val="nil"/>
              <w:left w:val="single" w:color="000000" w:sz="4" w:space="0"/>
              <w:bottom w:val="nil"/>
              <w:right w:val="single" w:color="000000" w:sz="4" w:space="0"/>
              <w:tl2br w:val="nil"/>
              <w:tr2bl w:val="nil"/>
            </w:tcBorders>
            <w:noWrap/>
            <w:vAlign w:val="center"/>
          </w:tcPr>
          <w:p w14:paraId="5F703726">
            <w:pPr>
              <w:widowControl/>
              <w:spacing w:beforeLines="0" w:afterLines="0" w:line="360" w:lineRule="auto"/>
              <w:jc w:val="center"/>
              <w:textAlignment w:val="center"/>
              <w:rPr>
                <w:rFonts w:hint="default" w:hAnsi="宋体"/>
                <w:color w:val="0C0C0C"/>
                <w:spacing w:val="-3"/>
                <w:sz w:val="24"/>
                <w:szCs w:val="24"/>
                <w:highlight w:val="cyan"/>
              </w:rPr>
            </w:pPr>
          </w:p>
        </w:tc>
      </w:tr>
      <w:tr w14:paraId="5CC41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4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3B5761A">
            <w:pPr>
              <w:widowControl/>
              <w:spacing w:beforeLines="0" w:afterLines="0" w:line="360" w:lineRule="auto"/>
              <w:jc w:val="center"/>
              <w:textAlignment w:val="center"/>
              <w:rPr>
                <w:rFonts w:hint="default" w:hAnsi="宋体"/>
                <w:color w:val="0C0C0C"/>
                <w:spacing w:val="-3"/>
                <w:sz w:val="24"/>
                <w:szCs w:val="24"/>
              </w:rPr>
            </w:pPr>
          </w:p>
        </w:tc>
        <w:tc>
          <w:tcPr>
            <w:tcW w:w="13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1CC5E32">
            <w:pPr>
              <w:widowControl/>
              <w:spacing w:beforeLines="0" w:afterLines="0" w:line="360" w:lineRule="auto"/>
              <w:jc w:val="center"/>
              <w:textAlignment w:val="center"/>
              <w:rPr>
                <w:rFonts w:hint="default" w:hAnsi="宋体"/>
                <w:color w:val="0C0C0C"/>
                <w:spacing w:val="-3"/>
                <w:sz w:val="24"/>
                <w:szCs w:val="24"/>
              </w:rPr>
            </w:pPr>
            <w:r>
              <w:rPr>
                <w:rFonts w:hint="default" w:hAnsi="宋体"/>
                <w:color w:val="0C0C0C"/>
                <w:spacing w:val="-3"/>
                <w:sz w:val="24"/>
                <w:szCs w:val="24"/>
              </w:rPr>
              <w:t>小计</w:t>
            </w:r>
          </w:p>
        </w:tc>
        <w:tc>
          <w:tcPr>
            <w:tcW w:w="394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D333EAD">
            <w:pPr>
              <w:widowControl/>
              <w:spacing w:beforeLines="0" w:afterLines="0" w:line="360" w:lineRule="auto"/>
              <w:jc w:val="center"/>
              <w:textAlignment w:val="center"/>
              <w:rPr>
                <w:rFonts w:hint="default" w:hAnsi="宋体"/>
                <w:color w:val="0C0C0C"/>
                <w:spacing w:val="-3"/>
                <w:sz w:val="24"/>
                <w:szCs w:val="24"/>
                <w:highlight w:val="cyan"/>
              </w:rPr>
            </w:pPr>
          </w:p>
        </w:tc>
        <w:tc>
          <w:tcPr>
            <w:tcW w:w="60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AB380E2">
            <w:pPr>
              <w:widowControl/>
              <w:spacing w:beforeLines="0" w:afterLines="0" w:line="360" w:lineRule="auto"/>
              <w:jc w:val="center"/>
              <w:textAlignment w:val="center"/>
              <w:rPr>
                <w:rFonts w:hint="default" w:hAnsi="宋体"/>
                <w:color w:val="0C0C0C"/>
                <w:spacing w:val="-3"/>
                <w:sz w:val="24"/>
                <w:szCs w:val="24"/>
                <w:highlight w:val="cyan"/>
              </w:rPr>
            </w:pPr>
          </w:p>
        </w:tc>
        <w:tc>
          <w:tcPr>
            <w:tcW w:w="73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10DD2DB">
            <w:pPr>
              <w:widowControl/>
              <w:spacing w:beforeLines="0" w:afterLines="0" w:line="360" w:lineRule="auto"/>
              <w:jc w:val="center"/>
              <w:textAlignment w:val="center"/>
              <w:rPr>
                <w:rFonts w:hint="default" w:hAnsi="宋体"/>
                <w:color w:val="0C0C0C"/>
                <w:spacing w:val="-3"/>
                <w:sz w:val="24"/>
                <w:szCs w:val="24"/>
                <w:highlight w:val="cyan"/>
              </w:rPr>
            </w:pPr>
            <w:r>
              <w:rPr>
                <w:rFonts w:hint="default" w:hAnsi="宋体"/>
                <w:color w:val="0C0C0C"/>
                <w:spacing w:val="-3"/>
                <w:sz w:val="24"/>
                <w:szCs w:val="24"/>
              </w:rPr>
              <w:t>5</w:t>
            </w:r>
          </w:p>
        </w:tc>
        <w:tc>
          <w:tcPr>
            <w:tcW w:w="129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D7C0D03">
            <w:pPr>
              <w:widowControl/>
              <w:spacing w:beforeLines="0" w:afterLines="0" w:line="360" w:lineRule="auto"/>
              <w:jc w:val="center"/>
              <w:textAlignment w:val="center"/>
              <w:rPr>
                <w:rFonts w:hint="default" w:hAnsi="宋体"/>
                <w:color w:val="0C0C0C"/>
                <w:spacing w:val="-3"/>
                <w:sz w:val="24"/>
                <w:szCs w:val="24"/>
                <w:highlight w:val="cyan"/>
              </w:rPr>
            </w:pPr>
          </w:p>
        </w:tc>
      </w:tr>
    </w:tbl>
    <w:p w14:paraId="7F1914B9">
      <w:pPr>
        <w:pStyle w:val="2"/>
        <w:keepNext/>
        <w:keepLines/>
        <w:numPr>
          <w:ilvl w:val="0"/>
          <w:numId w:val="1"/>
        </w:numPr>
        <w:tabs>
          <w:tab w:val="left" w:pos="720"/>
        </w:tabs>
        <w:kinsoku w:val="0"/>
        <w:overflowPunct w:val="0"/>
        <w:spacing w:before="85" w:beforeLines="0" w:afterLines="0" w:line="360" w:lineRule="auto"/>
        <w:jc w:val="both"/>
        <w:rPr>
          <w:rFonts w:hint="default"/>
          <w:color w:val="000000"/>
          <w:spacing w:val="-3"/>
          <w:sz w:val="24"/>
          <w:szCs w:val="24"/>
        </w:rPr>
      </w:pPr>
      <w:r>
        <w:rPr>
          <w:rFonts w:hint="default"/>
          <w:color w:val="000000"/>
          <w:spacing w:val="-3"/>
          <w:sz w:val="24"/>
          <w:szCs w:val="24"/>
        </w:rPr>
        <w:t>柜内主要配置清单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500"/>
        <w:gridCol w:w="1655"/>
        <w:gridCol w:w="663"/>
        <w:gridCol w:w="645"/>
        <w:gridCol w:w="2327"/>
        <w:gridCol w:w="1236"/>
      </w:tblGrid>
      <w:tr w14:paraId="246F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4440C419">
            <w:pPr>
              <w:spacing w:beforeLines="0" w:afterLines="0"/>
              <w:rPr>
                <w:rFonts w:hint="default"/>
                <w:sz w:val="22"/>
                <w:szCs w:val="22"/>
              </w:rPr>
            </w:pPr>
            <w:r>
              <w:rPr>
                <w:rFonts w:hint="default"/>
                <w:sz w:val="22"/>
                <w:szCs w:val="22"/>
              </w:rPr>
              <w:t>设备编号：AA01</w:t>
            </w:r>
          </w:p>
        </w:tc>
        <w:tc>
          <w:tcPr>
            <w:tcW w:w="4871"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7A966AC2">
            <w:pPr>
              <w:spacing w:beforeLines="0" w:afterLines="0"/>
              <w:rPr>
                <w:rFonts w:hint="default"/>
                <w:sz w:val="22"/>
                <w:szCs w:val="22"/>
              </w:rPr>
            </w:pPr>
            <w:r>
              <w:rPr>
                <w:rFonts w:hint="default"/>
                <w:sz w:val="22"/>
                <w:szCs w:val="22"/>
              </w:rPr>
              <w:t>设备型号：GGD</w:t>
            </w:r>
          </w:p>
        </w:tc>
      </w:tr>
      <w:tr w14:paraId="11AF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5F338">
            <w:pPr>
              <w:spacing w:beforeLines="0" w:afterLines="0"/>
              <w:jc w:val="center"/>
              <w:rPr>
                <w:rFonts w:hint="default"/>
                <w:sz w:val="22"/>
                <w:szCs w:val="22"/>
              </w:rPr>
            </w:pPr>
            <w:r>
              <w:rPr>
                <w:rFonts w:hint="default"/>
                <w:sz w:val="22"/>
                <w:szCs w:val="22"/>
              </w:rPr>
              <w:t>序号</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BDD38A">
            <w:pPr>
              <w:spacing w:beforeLines="0" w:afterLines="0"/>
              <w:jc w:val="center"/>
              <w:rPr>
                <w:rFonts w:hint="default"/>
                <w:sz w:val="22"/>
                <w:szCs w:val="22"/>
              </w:rPr>
            </w:pPr>
            <w:r>
              <w:rPr>
                <w:rFonts w:hint="default"/>
                <w:sz w:val="22"/>
                <w:szCs w:val="22"/>
              </w:rPr>
              <w:t>名称</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DF6626">
            <w:pPr>
              <w:spacing w:beforeLines="0" w:afterLines="0"/>
              <w:jc w:val="center"/>
              <w:rPr>
                <w:rFonts w:hint="default"/>
                <w:sz w:val="22"/>
                <w:szCs w:val="22"/>
              </w:rPr>
            </w:pPr>
            <w:r>
              <w:rPr>
                <w:rFonts w:hint="default"/>
                <w:sz w:val="22"/>
                <w:szCs w:val="22"/>
              </w:rPr>
              <w:t>规格及型号</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FC54FF">
            <w:pPr>
              <w:spacing w:beforeLines="0" w:afterLines="0"/>
              <w:jc w:val="center"/>
              <w:rPr>
                <w:rFonts w:hint="default"/>
                <w:sz w:val="22"/>
                <w:szCs w:val="22"/>
              </w:rPr>
            </w:pPr>
            <w:r>
              <w:rPr>
                <w:rFonts w:hint="default"/>
                <w:sz w:val="22"/>
                <w:szCs w:val="22"/>
              </w:rPr>
              <w:t>单位</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441D8">
            <w:pPr>
              <w:spacing w:beforeLines="0" w:afterLines="0"/>
              <w:jc w:val="center"/>
              <w:rPr>
                <w:rFonts w:hint="default"/>
                <w:sz w:val="22"/>
                <w:szCs w:val="22"/>
              </w:rPr>
            </w:pPr>
            <w:r>
              <w:rPr>
                <w:rFonts w:hint="default"/>
                <w:sz w:val="22"/>
                <w:szCs w:val="22"/>
              </w:rPr>
              <w:t>数量</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A3013">
            <w:pPr>
              <w:spacing w:beforeLines="0" w:afterLines="0"/>
              <w:jc w:val="center"/>
              <w:rPr>
                <w:rFonts w:hint="eastAsia" w:eastAsia="宋体"/>
                <w:sz w:val="22"/>
                <w:szCs w:val="22"/>
                <w:lang w:eastAsia="zh-CN"/>
              </w:rPr>
            </w:pPr>
            <w:r>
              <w:rPr>
                <w:rFonts w:hint="eastAsia"/>
                <w:sz w:val="22"/>
                <w:szCs w:val="22"/>
                <w:lang w:eastAsia="zh-CN"/>
              </w:rPr>
              <w:t>参照或相当于</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72559E">
            <w:pPr>
              <w:spacing w:beforeLines="0" w:afterLines="0"/>
              <w:jc w:val="center"/>
              <w:rPr>
                <w:rFonts w:hint="default"/>
                <w:sz w:val="22"/>
                <w:szCs w:val="22"/>
              </w:rPr>
            </w:pPr>
            <w:r>
              <w:rPr>
                <w:rFonts w:hint="default"/>
                <w:sz w:val="22"/>
                <w:szCs w:val="22"/>
              </w:rPr>
              <w:t>备注</w:t>
            </w:r>
          </w:p>
        </w:tc>
      </w:tr>
      <w:tr w14:paraId="41BF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8B5158">
            <w:pPr>
              <w:spacing w:beforeLines="0" w:afterLines="0"/>
              <w:jc w:val="center"/>
              <w:rPr>
                <w:rFonts w:hint="default"/>
                <w:sz w:val="22"/>
                <w:szCs w:val="22"/>
              </w:rPr>
            </w:pPr>
            <w:r>
              <w:rPr>
                <w:rFonts w:hint="default"/>
                <w:sz w:val="22"/>
                <w:szCs w:val="22"/>
              </w:rPr>
              <w:t>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78F9EC">
            <w:pPr>
              <w:widowControl/>
              <w:spacing w:beforeLines="0" w:afterLines="0"/>
              <w:textAlignment w:val="center"/>
              <w:rPr>
                <w:rFonts w:hint="default" w:ascii="??" w:hAnsi="??" w:eastAsia="??" w:cs="??"/>
                <w:color w:val="000000"/>
                <w:kern w:val="2"/>
                <w:sz w:val="22"/>
                <w:szCs w:val="22"/>
              </w:rPr>
            </w:pPr>
            <w:r>
              <w:rPr>
                <w:rFonts w:hint="default" w:ascii="??" w:hAnsi="??" w:eastAsia="??" w:cs="??"/>
                <w:color w:val="000000"/>
                <w:sz w:val="22"/>
                <w:szCs w:val="22"/>
                <w:lang w:bidi="ar"/>
              </w:rPr>
              <w:t>开启式刀开关</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D804C">
            <w:pPr>
              <w:spacing w:beforeLines="0" w:afterLines="0"/>
              <w:jc w:val="center"/>
              <w:rPr>
                <w:rFonts w:hint="default"/>
                <w:sz w:val="22"/>
                <w:szCs w:val="22"/>
              </w:rPr>
            </w:pPr>
            <w:r>
              <w:rPr>
                <w:rFonts w:hint="default"/>
                <w:sz w:val="22"/>
                <w:szCs w:val="22"/>
              </w:rPr>
              <w:t>HD13-200/31 玻板</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840D2">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D1AB5C">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E890DC">
            <w:pPr>
              <w:widowControl/>
              <w:spacing w:beforeLines="0" w:afterLines="0"/>
              <w:textAlignment w:val="center"/>
              <w:rPr>
                <w:rFonts w:hint="default" w:ascii="??" w:hAnsi="??" w:eastAsia="??" w:cs="??"/>
                <w:color w:val="000000"/>
                <w:kern w:val="2"/>
                <w:sz w:val="22"/>
                <w:szCs w:val="22"/>
              </w:rPr>
            </w:pPr>
            <w:r>
              <w:rPr>
                <w:rFonts w:hint="default"/>
                <w:sz w:val="22"/>
                <w:szCs w:val="22"/>
              </w:rPr>
              <w:t>正泰，天水213，常熟</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9FED20">
            <w:pPr>
              <w:spacing w:beforeLines="0" w:afterLines="0"/>
              <w:jc w:val="center"/>
              <w:rPr>
                <w:rFonts w:hint="default"/>
                <w:sz w:val="22"/>
                <w:szCs w:val="22"/>
              </w:rPr>
            </w:pPr>
          </w:p>
        </w:tc>
      </w:tr>
      <w:tr w14:paraId="79CD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8C2AB">
            <w:pPr>
              <w:spacing w:beforeLines="0" w:afterLines="0"/>
              <w:jc w:val="center"/>
              <w:rPr>
                <w:rFonts w:hint="default"/>
                <w:sz w:val="22"/>
                <w:szCs w:val="22"/>
              </w:rPr>
            </w:pPr>
            <w:r>
              <w:rPr>
                <w:rFonts w:hint="default"/>
                <w:sz w:val="22"/>
                <w:szCs w:val="22"/>
              </w:rPr>
              <w:t>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97CF9B">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E8BEB">
            <w:pPr>
              <w:spacing w:beforeLines="0" w:afterLines="0"/>
              <w:jc w:val="center"/>
              <w:rPr>
                <w:rFonts w:hint="default"/>
                <w:sz w:val="22"/>
                <w:szCs w:val="22"/>
              </w:rPr>
            </w:pPr>
            <w:r>
              <w:rPr>
                <w:rFonts w:hint="default"/>
                <w:sz w:val="22"/>
                <w:szCs w:val="22"/>
              </w:rPr>
              <w:t>TMY-80*8</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FB20E5">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B0ACF">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DF78A4">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D0C00">
            <w:pPr>
              <w:spacing w:beforeLines="0" w:afterLines="0"/>
              <w:jc w:val="center"/>
              <w:rPr>
                <w:rFonts w:hint="default"/>
                <w:sz w:val="22"/>
                <w:szCs w:val="22"/>
              </w:rPr>
            </w:pPr>
          </w:p>
        </w:tc>
      </w:tr>
      <w:tr w14:paraId="39C30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75538">
            <w:pPr>
              <w:spacing w:beforeLines="0" w:afterLines="0"/>
              <w:jc w:val="center"/>
              <w:rPr>
                <w:rFonts w:hint="default"/>
                <w:sz w:val="22"/>
                <w:szCs w:val="22"/>
              </w:rPr>
            </w:pPr>
            <w:r>
              <w:rPr>
                <w:rFonts w:hint="default"/>
                <w:sz w:val="22"/>
                <w:szCs w:val="22"/>
              </w:rPr>
              <w:t>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878FA0">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7266E6">
            <w:pPr>
              <w:spacing w:beforeLines="0" w:afterLines="0"/>
              <w:jc w:val="center"/>
              <w:rPr>
                <w:rFonts w:hint="default"/>
                <w:sz w:val="22"/>
                <w:szCs w:val="22"/>
              </w:rPr>
            </w:pPr>
            <w:r>
              <w:rPr>
                <w:rFonts w:hint="default"/>
                <w:sz w:val="22"/>
                <w:szCs w:val="22"/>
              </w:rPr>
              <w:t>TMY-50*5</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BAE0E1">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B309ED">
            <w:pPr>
              <w:spacing w:beforeLines="0" w:afterLines="0"/>
              <w:jc w:val="center"/>
              <w:rPr>
                <w:rFonts w:hint="default"/>
                <w:sz w:val="22"/>
                <w:szCs w:val="22"/>
              </w:rPr>
            </w:pPr>
            <w:r>
              <w:rPr>
                <w:rFonts w:hint="default"/>
                <w:sz w:val="22"/>
                <w:szCs w:val="22"/>
              </w:rPr>
              <w:t>3</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460DEE">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2CBF60">
            <w:pPr>
              <w:spacing w:beforeLines="0" w:afterLines="0"/>
              <w:jc w:val="center"/>
              <w:rPr>
                <w:rFonts w:hint="default"/>
                <w:sz w:val="22"/>
                <w:szCs w:val="22"/>
              </w:rPr>
            </w:pPr>
          </w:p>
        </w:tc>
      </w:tr>
      <w:tr w14:paraId="3B15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689C4">
            <w:pPr>
              <w:spacing w:beforeLines="0" w:afterLines="0"/>
              <w:jc w:val="center"/>
              <w:rPr>
                <w:rFonts w:hint="default"/>
                <w:sz w:val="22"/>
                <w:szCs w:val="22"/>
              </w:rPr>
            </w:pPr>
            <w:r>
              <w:rPr>
                <w:rFonts w:hint="default"/>
                <w:sz w:val="22"/>
                <w:szCs w:val="22"/>
              </w:rPr>
              <w:t>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107DE">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053A79">
            <w:pPr>
              <w:spacing w:beforeLines="0" w:afterLines="0"/>
              <w:jc w:val="center"/>
              <w:rPr>
                <w:rFonts w:hint="default"/>
                <w:sz w:val="22"/>
                <w:szCs w:val="22"/>
              </w:rPr>
            </w:pPr>
            <w:r>
              <w:rPr>
                <w:rFonts w:hint="default"/>
                <w:sz w:val="22"/>
                <w:szCs w:val="22"/>
              </w:rPr>
              <w:t>TMY-30*4</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D27672">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1300E">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938DD2">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2F016">
            <w:pPr>
              <w:spacing w:beforeLines="0" w:afterLines="0"/>
              <w:jc w:val="center"/>
              <w:rPr>
                <w:rFonts w:hint="default"/>
                <w:sz w:val="22"/>
                <w:szCs w:val="22"/>
              </w:rPr>
            </w:pPr>
          </w:p>
        </w:tc>
      </w:tr>
      <w:tr w14:paraId="44DD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7A791B">
            <w:pPr>
              <w:spacing w:beforeLines="0" w:afterLines="0"/>
              <w:jc w:val="center"/>
              <w:rPr>
                <w:rFonts w:hint="default"/>
                <w:sz w:val="22"/>
                <w:szCs w:val="22"/>
              </w:rPr>
            </w:pPr>
            <w:r>
              <w:rPr>
                <w:rFonts w:hint="default"/>
                <w:sz w:val="22"/>
                <w:szCs w:val="22"/>
              </w:rPr>
              <w:t>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610B0">
            <w:pPr>
              <w:spacing w:beforeLines="0" w:afterLines="0"/>
              <w:jc w:val="center"/>
              <w:rPr>
                <w:rFonts w:hint="default"/>
                <w:sz w:val="22"/>
                <w:szCs w:val="22"/>
              </w:rPr>
            </w:pP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FEBA4">
            <w:pPr>
              <w:spacing w:beforeLines="0" w:afterLines="0"/>
              <w:jc w:val="center"/>
              <w:rPr>
                <w:rFonts w:hint="default"/>
                <w:sz w:val="22"/>
                <w:szCs w:val="22"/>
              </w:rPr>
            </w:pP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CECA19">
            <w:pPr>
              <w:spacing w:beforeLines="0" w:afterLines="0"/>
              <w:jc w:val="center"/>
              <w:rPr>
                <w:rFonts w:hint="default"/>
                <w:sz w:val="22"/>
                <w:szCs w:val="22"/>
              </w:rPr>
            </w:pP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7E91A">
            <w:pPr>
              <w:spacing w:beforeLines="0" w:afterLines="0"/>
              <w:jc w:val="center"/>
              <w:rPr>
                <w:rFonts w:hint="default"/>
                <w:sz w:val="22"/>
                <w:szCs w:val="22"/>
              </w:rPr>
            </w:pP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3FCC9">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D88F0">
            <w:pPr>
              <w:spacing w:beforeLines="0" w:afterLines="0"/>
              <w:jc w:val="center"/>
              <w:rPr>
                <w:rFonts w:hint="default"/>
                <w:sz w:val="22"/>
                <w:szCs w:val="22"/>
              </w:rPr>
            </w:pPr>
          </w:p>
        </w:tc>
      </w:tr>
      <w:tr w14:paraId="72F1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1EAE972F">
            <w:pPr>
              <w:spacing w:beforeLines="0" w:afterLines="0"/>
              <w:rPr>
                <w:rFonts w:hint="default"/>
                <w:sz w:val="22"/>
                <w:szCs w:val="22"/>
              </w:rPr>
            </w:pPr>
            <w:r>
              <w:rPr>
                <w:rFonts w:hint="default"/>
                <w:sz w:val="22"/>
                <w:szCs w:val="22"/>
              </w:rPr>
              <w:t>设备编号：AA02</w:t>
            </w:r>
          </w:p>
        </w:tc>
        <w:tc>
          <w:tcPr>
            <w:tcW w:w="4871"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6309D4A">
            <w:pPr>
              <w:spacing w:beforeLines="0" w:afterLines="0"/>
              <w:rPr>
                <w:rFonts w:hint="default"/>
                <w:sz w:val="22"/>
                <w:szCs w:val="22"/>
              </w:rPr>
            </w:pPr>
            <w:r>
              <w:rPr>
                <w:rFonts w:hint="default"/>
                <w:sz w:val="22"/>
                <w:szCs w:val="22"/>
              </w:rPr>
              <w:t>设备型号：GGD</w:t>
            </w:r>
          </w:p>
        </w:tc>
      </w:tr>
      <w:tr w14:paraId="2B34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00835">
            <w:pPr>
              <w:spacing w:beforeLines="0" w:afterLines="0"/>
              <w:jc w:val="center"/>
              <w:rPr>
                <w:rFonts w:hint="default"/>
                <w:sz w:val="22"/>
                <w:szCs w:val="22"/>
              </w:rPr>
            </w:pPr>
            <w:r>
              <w:rPr>
                <w:rFonts w:hint="default"/>
                <w:sz w:val="22"/>
                <w:szCs w:val="22"/>
              </w:rPr>
              <w:t>序号</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74B8F8">
            <w:pPr>
              <w:spacing w:beforeLines="0" w:afterLines="0"/>
              <w:jc w:val="center"/>
              <w:rPr>
                <w:rFonts w:hint="default"/>
                <w:sz w:val="22"/>
                <w:szCs w:val="22"/>
              </w:rPr>
            </w:pPr>
            <w:r>
              <w:rPr>
                <w:rFonts w:hint="default"/>
                <w:sz w:val="22"/>
                <w:szCs w:val="22"/>
              </w:rPr>
              <w:t>名称</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E09C10">
            <w:pPr>
              <w:spacing w:beforeLines="0" w:afterLines="0"/>
              <w:jc w:val="center"/>
              <w:rPr>
                <w:rFonts w:hint="default"/>
                <w:sz w:val="22"/>
                <w:szCs w:val="22"/>
              </w:rPr>
            </w:pPr>
            <w:r>
              <w:rPr>
                <w:rFonts w:hint="default"/>
                <w:sz w:val="22"/>
                <w:szCs w:val="22"/>
              </w:rPr>
              <w:t>规格及型号</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0BEF0">
            <w:pPr>
              <w:spacing w:beforeLines="0" w:afterLines="0"/>
              <w:jc w:val="center"/>
              <w:rPr>
                <w:rFonts w:hint="default"/>
                <w:sz w:val="22"/>
                <w:szCs w:val="22"/>
              </w:rPr>
            </w:pPr>
            <w:r>
              <w:rPr>
                <w:rFonts w:hint="default"/>
                <w:sz w:val="22"/>
                <w:szCs w:val="22"/>
              </w:rPr>
              <w:t>单位</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6F2D02">
            <w:pPr>
              <w:spacing w:beforeLines="0" w:afterLines="0"/>
              <w:jc w:val="center"/>
              <w:rPr>
                <w:rFonts w:hint="default"/>
                <w:sz w:val="22"/>
                <w:szCs w:val="22"/>
              </w:rPr>
            </w:pPr>
            <w:r>
              <w:rPr>
                <w:rFonts w:hint="default"/>
                <w:sz w:val="22"/>
                <w:szCs w:val="22"/>
              </w:rPr>
              <w:t>数量</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A06119">
            <w:pPr>
              <w:spacing w:beforeLines="0" w:afterLines="0"/>
              <w:jc w:val="center"/>
              <w:rPr>
                <w:rFonts w:hint="eastAsia" w:eastAsia="宋体"/>
                <w:sz w:val="22"/>
                <w:szCs w:val="22"/>
                <w:lang w:eastAsia="zh-CN"/>
              </w:rPr>
            </w:pPr>
            <w:r>
              <w:rPr>
                <w:rFonts w:hint="eastAsia"/>
                <w:sz w:val="22"/>
                <w:szCs w:val="22"/>
                <w:lang w:eastAsia="zh-CN"/>
              </w:rPr>
              <w:t>参照或相当于</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0CDF5">
            <w:pPr>
              <w:spacing w:beforeLines="0" w:afterLines="0"/>
              <w:jc w:val="center"/>
              <w:rPr>
                <w:rFonts w:hint="default"/>
                <w:sz w:val="22"/>
                <w:szCs w:val="22"/>
              </w:rPr>
            </w:pPr>
            <w:r>
              <w:rPr>
                <w:rFonts w:hint="default"/>
                <w:sz w:val="22"/>
                <w:szCs w:val="22"/>
              </w:rPr>
              <w:t>备注</w:t>
            </w:r>
          </w:p>
        </w:tc>
      </w:tr>
      <w:tr w14:paraId="76E6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6760A3">
            <w:pPr>
              <w:spacing w:beforeLines="0" w:afterLines="0"/>
              <w:jc w:val="center"/>
              <w:rPr>
                <w:rFonts w:hint="default"/>
                <w:sz w:val="22"/>
                <w:szCs w:val="22"/>
              </w:rPr>
            </w:pPr>
            <w:r>
              <w:rPr>
                <w:rFonts w:hint="default"/>
                <w:sz w:val="22"/>
                <w:szCs w:val="22"/>
              </w:rPr>
              <w:t>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565F2E">
            <w:pPr>
              <w:widowControl/>
              <w:spacing w:beforeLines="0" w:afterLines="0"/>
              <w:textAlignment w:val="center"/>
              <w:rPr>
                <w:rFonts w:hint="default" w:ascii="??" w:hAnsi="??" w:eastAsia="??" w:cs="??"/>
                <w:color w:val="000000"/>
                <w:kern w:val="2"/>
                <w:sz w:val="22"/>
                <w:szCs w:val="22"/>
              </w:rPr>
            </w:pPr>
            <w:r>
              <w:rPr>
                <w:rFonts w:hint="default" w:ascii="??" w:hAnsi="??" w:eastAsia="??" w:cs="??"/>
                <w:color w:val="000000"/>
                <w:sz w:val="22"/>
                <w:szCs w:val="22"/>
                <w:lang w:bidi="ar"/>
              </w:rPr>
              <w:t>开启式刀开关</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00446">
            <w:pPr>
              <w:spacing w:beforeLines="0" w:afterLines="0"/>
              <w:jc w:val="center"/>
              <w:rPr>
                <w:rFonts w:hint="default"/>
                <w:sz w:val="22"/>
                <w:szCs w:val="22"/>
              </w:rPr>
            </w:pPr>
            <w:r>
              <w:rPr>
                <w:rFonts w:hint="default"/>
                <w:sz w:val="22"/>
                <w:szCs w:val="22"/>
              </w:rPr>
              <w:t>HD13-200/31 玻板</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CF7CE">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65E2E4">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E693C5">
            <w:pPr>
              <w:widowControl/>
              <w:spacing w:beforeLines="0" w:afterLines="0"/>
              <w:textAlignment w:val="center"/>
              <w:rPr>
                <w:rFonts w:hint="default" w:ascii="??" w:hAnsi="??" w:eastAsia="??" w:cs="??"/>
                <w:color w:val="000000"/>
                <w:kern w:val="2"/>
                <w:sz w:val="22"/>
                <w:szCs w:val="22"/>
              </w:rPr>
            </w:pPr>
            <w:r>
              <w:rPr>
                <w:rFonts w:hint="default"/>
                <w:sz w:val="22"/>
                <w:szCs w:val="22"/>
              </w:rPr>
              <w:t>正泰，天水213，常熟</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2F8533">
            <w:pPr>
              <w:spacing w:beforeLines="0" w:afterLines="0"/>
              <w:jc w:val="center"/>
              <w:rPr>
                <w:rFonts w:hint="default"/>
                <w:sz w:val="22"/>
                <w:szCs w:val="22"/>
              </w:rPr>
            </w:pPr>
          </w:p>
        </w:tc>
      </w:tr>
      <w:tr w14:paraId="5C65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0BA6C1">
            <w:pPr>
              <w:spacing w:beforeLines="0" w:afterLines="0"/>
              <w:jc w:val="center"/>
              <w:rPr>
                <w:rFonts w:hint="default"/>
                <w:sz w:val="22"/>
                <w:szCs w:val="22"/>
              </w:rPr>
            </w:pPr>
            <w:r>
              <w:rPr>
                <w:rFonts w:hint="default"/>
                <w:sz w:val="22"/>
                <w:szCs w:val="22"/>
              </w:rPr>
              <w:t>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77C27">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A8BA41">
            <w:pPr>
              <w:spacing w:beforeLines="0" w:afterLines="0"/>
              <w:jc w:val="center"/>
              <w:rPr>
                <w:rFonts w:hint="default"/>
                <w:sz w:val="22"/>
                <w:szCs w:val="22"/>
              </w:rPr>
            </w:pPr>
            <w:r>
              <w:rPr>
                <w:rFonts w:hint="default"/>
                <w:sz w:val="22"/>
                <w:szCs w:val="22"/>
              </w:rPr>
              <w:t>TMY-80*8</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F39953">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10539B">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484782">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2BF6C">
            <w:pPr>
              <w:spacing w:beforeLines="0" w:afterLines="0"/>
              <w:jc w:val="center"/>
              <w:rPr>
                <w:rFonts w:hint="default"/>
                <w:sz w:val="22"/>
                <w:szCs w:val="22"/>
              </w:rPr>
            </w:pPr>
          </w:p>
        </w:tc>
      </w:tr>
      <w:tr w14:paraId="0A04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2A28B">
            <w:pPr>
              <w:spacing w:beforeLines="0" w:afterLines="0"/>
              <w:jc w:val="center"/>
              <w:rPr>
                <w:rFonts w:hint="default"/>
                <w:sz w:val="22"/>
                <w:szCs w:val="22"/>
              </w:rPr>
            </w:pPr>
            <w:r>
              <w:rPr>
                <w:rFonts w:hint="default"/>
                <w:sz w:val="22"/>
                <w:szCs w:val="22"/>
              </w:rPr>
              <w:t>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A76CF">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2CB53">
            <w:pPr>
              <w:spacing w:beforeLines="0" w:afterLines="0"/>
              <w:jc w:val="center"/>
              <w:rPr>
                <w:rFonts w:hint="default"/>
                <w:sz w:val="22"/>
                <w:szCs w:val="22"/>
              </w:rPr>
            </w:pPr>
            <w:r>
              <w:rPr>
                <w:rFonts w:hint="default"/>
                <w:sz w:val="22"/>
                <w:szCs w:val="22"/>
              </w:rPr>
              <w:t>TMY-50*5</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E3CF52">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B40B2F">
            <w:pPr>
              <w:spacing w:beforeLines="0" w:afterLines="0"/>
              <w:jc w:val="center"/>
              <w:rPr>
                <w:rFonts w:hint="default"/>
                <w:sz w:val="22"/>
                <w:szCs w:val="22"/>
              </w:rPr>
            </w:pPr>
            <w:r>
              <w:rPr>
                <w:rFonts w:hint="default"/>
                <w:sz w:val="22"/>
                <w:szCs w:val="22"/>
              </w:rPr>
              <w:t>3</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627FFC">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01D07D">
            <w:pPr>
              <w:spacing w:beforeLines="0" w:afterLines="0"/>
              <w:jc w:val="center"/>
              <w:rPr>
                <w:rFonts w:hint="default"/>
                <w:sz w:val="22"/>
                <w:szCs w:val="22"/>
              </w:rPr>
            </w:pPr>
          </w:p>
        </w:tc>
      </w:tr>
      <w:tr w14:paraId="56E5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80E06B">
            <w:pPr>
              <w:spacing w:beforeLines="0" w:afterLines="0"/>
              <w:jc w:val="center"/>
              <w:rPr>
                <w:rFonts w:hint="default"/>
                <w:sz w:val="22"/>
                <w:szCs w:val="22"/>
              </w:rPr>
            </w:pPr>
            <w:r>
              <w:rPr>
                <w:rFonts w:hint="default"/>
                <w:sz w:val="22"/>
                <w:szCs w:val="22"/>
              </w:rPr>
              <w:t>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E6105A">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5602F5">
            <w:pPr>
              <w:spacing w:beforeLines="0" w:afterLines="0"/>
              <w:jc w:val="center"/>
              <w:rPr>
                <w:rFonts w:hint="default"/>
                <w:sz w:val="22"/>
                <w:szCs w:val="22"/>
              </w:rPr>
            </w:pPr>
            <w:r>
              <w:rPr>
                <w:rFonts w:hint="default"/>
                <w:sz w:val="22"/>
                <w:szCs w:val="22"/>
              </w:rPr>
              <w:t>TMY-30*4</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DBFC0">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74E489">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5F0560">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267CB9">
            <w:pPr>
              <w:spacing w:beforeLines="0" w:afterLines="0"/>
              <w:jc w:val="center"/>
              <w:rPr>
                <w:rFonts w:hint="default"/>
                <w:sz w:val="22"/>
                <w:szCs w:val="22"/>
              </w:rPr>
            </w:pPr>
          </w:p>
        </w:tc>
      </w:tr>
      <w:tr w14:paraId="0402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B5F6D2">
            <w:pPr>
              <w:spacing w:beforeLines="0" w:afterLines="0"/>
              <w:jc w:val="center"/>
              <w:rPr>
                <w:rFonts w:hint="default"/>
                <w:sz w:val="22"/>
                <w:szCs w:val="22"/>
              </w:rPr>
            </w:pPr>
            <w:r>
              <w:rPr>
                <w:rFonts w:hint="default"/>
                <w:sz w:val="22"/>
                <w:szCs w:val="22"/>
              </w:rPr>
              <w:t>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BCA6A0">
            <w:pPr>
              <w:spacing w:beforeLines="0" w:afterLines="0"/>
              <w:jc w:val="center"/>
              <w:rPr>
                <w:rFonts w:hint="default"/>
                <w:sz w:val="22"/>
                <w:szCs w:val="22"/>
              </w:rPr>
            </w:pP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DA7A09">
            <w:pPr>
              <w:spacing w:beforeLines="0" w:afterLines="0"/>
              <w:jc w:val="center"/>
              <w:rPr>
                <w:rFonts w:hint="default"/>
                <w:sz w:val="22"/>
                <w:szCs w:val="22"/>
              </w:rPr>
            </w:pP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0AA093">
            <w:pPr>
              <w:spacing w:beforeLines="0" w:afterLines="0"/>
              <w:jc w:val="center"/>
              <w:rPr>
                <w:rFonts w:hint="default"/>
                <w:sz w:val="22"/>
                <w:szCs w:val="22"/>
              </w:rPr>
            </w:pP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F6BE93">
            <w:pPr>
              <w:spacing w:beforeLines="0" w:afterLines="0"/>
              <w:jc w:val="center"/>
              <w:rPr>
                <w:rFonts w:hint="default"/>
                <w:sz w:val="22"/>
                <w:szCs w:val="22"/>
              </w:rPr>
            </w:pP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B9C9CA">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DA4FDE">
            <w:pPr>
              <w:spacing w:beforeLines="0" w:afterLines="0"/>
              <w:jc w:val="center"/>
              <w:rPr>
                <w:rFonts w:hint="default"/>
                <w:sz w:val="22"/>
                <w:szCs w:val="22"/>
              </w:rPr>
            </w:pPr>
          </w:p>
        </w:tc>
      </w:tr>
      <w:tr w14:paraId="264A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037802A8">
            <w:pPr>
              <w:spacing w:beforeLines="0" w:afterLines="0"/>
              <w:rPr>
                <w:rFonts w:hint="default"/>
                <w:sz w:val="22"/>
                <w:szCs w:val="22"/>
              </w:rPr>
            </w:pPr>
            <w:r>
              <w:rPr>
                <w:rFonts w:hint="default"/>
                <w:sz w:val="22"/>
                <w:szCs w:val="22"/>
              </w:rPr>
              <w:t>设备编号：AA03</w:t>
            </w:r>
          </w:p>
        </w:tc>
        <w:tc>
          <w:tcPr>
            <w:tcW w:w="4871"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36929AE9">
            <w:pPr>
              <w:spacing w:beforeLines="0" w:afterLines="0"/>
              <w:rPr>
                <w:rFonts w:hint="default"/>
                <w:sz w:val="22"/>
                <w:szCs w:val="22"/>
              </w:rPr>
            </w:pPr>
            <w:r>
              <w:rPr>
                <w:rFonts w:hint="default"/>
                <w:sz w:val="22"/>
                <w:szCs w:val="22"/>
              </w:rPr>
              <w:t>设备型号：GGD</w:t>
            </w:r>
          </w:p>
        </w:tc>
      </w:tr>
      <w:tr w14:paraId="051D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04D3D6">
            <w:pPr>
              <w:spacing w:beforeLines="0" w:afterLines="0"/>
              <w:jc w:val="center"/>
              <w:rPr>
                <w:rFonts w:hint="default"/>
                <w:sz w:val="22"/>
                <w:szCs w:val="22"/>
              </w:rPr>
            </w:pPr>
            <w:r>
              <w:rPr>
                <w:rFonts w:hint="default"/>
                <w:sz w:val="22"/>
                <w:szCs w:val="22"/>
              </w:rPr>
              <w:t>序号</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82CE6D">
            <w:pPr>
              <w:spacing w:beforeLines="0" w:afterLines="0"/>
              <w:jc w:val="center"/>
              <w:rPr>
                <w:rFonts w:hint="default"/>
                <w:sz w:val="22"/>
                <w:szCs w:val="22"/>
              </w:rPr>
            </w:pPr>
            <w:r>
              <w:rPr>
                <w:rFonts w:hint="default"/>
                <w:sz w:val="22"/>
                <w:szCs w:val="22"/>
              </w:rPr>
              <w:t>名称</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4A0E22">
            <w:pPr>
              <w:spacing w:beforeLines="0" w:afterLines="0"/>
              <w:jc w:val="center"/>
              <w:rPr>
                <w:rFonts w:hint="default"/>
                <w:sz w:val="22"/>
                <w:szCs w:val="22"/>
              </w:rPr>
            </w:pPr>
            <w:r>
              <w:rPr>
                <w:rFonts w:hint="default"/>
                <w:sz w:val="22"/>
                <w:szCs w:val="22"/>
              </w:rPr>
              <w:t>规格及型号</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BA0C76">
            <w:pPr>
              <w:spacing w:beforeLines="0" w:afterLines="0"/>
              <w:jc w:val="center"/>
              <w:rPr>
                <w:rFonts w:hint="default"/>
                <w:sz w:val="22"/>
                <w:szCs w:val="22"/>
              </w:rPr>
            </w:pPr>
            <w:r>
              <w:rPr>
                <w:rFonts w:hint="default"/>
                <w:sz w:val="22"/>
                <w:szCs w:val="22"/>
              </w:rPr>
              <w:t>单位</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6511A1">
            <w:pPr>
              <w:spacing w:beforeLines="0" w:afterLines="0"/>
              <w:jc w:val="center"/>
              <w:rPr>
                <w:rFonts w:hint="default"/>
                <w:sz w:val="22"/>
                <w:szCs w:val="22"/>
              </w:rPr>
            </w:pPr>
            <w:r>
              <w:rPr>
                <w:rFonts w:hint="default"/>
                <w:sz w:val="22"/>
                <w:szCs w:val="22"/>
              </w:rPr>
              <w:t>数量</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EC2093">
            <w:pPr>
              <w:spacing w:beforeLines="0" w:afterLines="0"/>
              <w:jc w:val="center"/>
              <w:rPr>
                <w:rFonts w:hint="eastAsia" w:eastAsia="宋体"/>
                <w:sz w:val="22"/>
                <w:szCs w:val="22"/>
                <w:lang w:eastAsia="zh-CN"/>
              </w:rPr>
            </w:pPr>
            <w:r>
              <w:rPr>
                <w:rFonts w:hint="eastAsia"/>
                <w:sz w:val="22"/>
                <w:szCs w:val="22"/>
                <w:lang w:eastAsia="zh-CN"/>
              </w:rPr>
              <w:t>参照或相当于</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F44964">
            <w:pPr>
              <w:spacing w:beforeLines="0" w:afterLines="0"/>
              <w:jc w:val="center"/>
              <w:rPr>
                <w:rFonts w:hint="default"/>
                <w:sz w:val="22"/>
                <w:szCs w:val="22"/>
              </w:rPr>
            </w:pPr>
            <w:r>
              <w:rPr>
                <w:rFonts w:hint="default"/>
                <w:sz w:val="22"/>
                <w:szCs w:val="22"/>
              </w:rPr>
              <w:t>备注</w:t>
            </w:r>
          </w:p>
        </w:tc>
      </w:tr>
      <w:tr w14:paraId="287F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44B831">
            <w:pPr>
              <w:spacing w:beforeLines="0" w:afterLines="0"/>
              <w:jc w:val="center"/>
              <w:rPr>
                <w:rFonts w:hint="default"/>
                <w:sz w:val="22"/>
                <w:szCs w:val="22"/>
              </w:rPr>
            </w:pPr>
            <w:r>
              <w:rPr>
                <w:rFonts w:hint="default"/>
                <w:sz w:val="22"/>
                <w:szCs w:val="22"/>
              </w:rPr>
              <w:t>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C2D992">
            <w:pPr>
              <w:widowControl/>
              <w:spacing w:beforeLines="0" w:afterLines="0"/>
              <w:textAlignment w:val="center"/>
              <w:rPr>
                <w:rFonts w:hint="default" w:ascii="??" w:hAnsi="??" w:eastAsia="??" w:cs="??"/>
                <w:color w:val="000000"/>
                <w:kern w:val="2"/>
                <w:sz w:val="22"/>
                <w:szCs w:val="22"/>
              </w:rPr>
            </w:pPr>
            <w:r>
              <w:rPr>
                <w:rFonts w:hint="default" w:ascii="??" w:hAnsi="??" w:eastAsia="??" w:cs="??"/>
                <w:color w:val="000000"/>
                <w:sz w:val="22"/>
                <w:szCs w:val="22"/>
                <w:lang w:bidi="ar"/>
              </w:rPr>
              <w:t>开启式刀开关</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0B2D7">
            <w:pPr>
              <w:spacing w:beforeLines="0" w:afterLines="0"/>
              <w:jc w:val="center"/>
              <w:rPr>
                <w:rFonts w:hint="default"/>
                <w:sz w:val="22"/>
                <w:szCs w:val="22"/>
              </w:rPr>
            </w:pPr>
            <w:r>
              <w:rPr>
                <w:rFonts w:hint="default"/>
                <w:sz w:val="22"/>
                <w:szCs w:val="22"/>
              </w:rPr>
              <w:t>HD13-200/31 玻板</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C92EE">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043899">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EA5152">
            <w:pPr>
              <w:widowControl/>
              <w:spacing w:beforeLines="0" w:afterLines="0"/>
              <w:textAlignment w:val="center"/>
              <w:rPr>
                <w:rFonts w:hint="default" w:ascii="??" w:hAnsi="??" w:eastAsia="??" w:cs="??"/>
                <w:color w:val="000000"/>
                <w:kern w:val="2"/>
                <w:sz w:val="22"/>
                <w:szCs w:val="22"/>
              </w:rPr>
            </w:pPr>
            <w:r>
              <w:rPr>
                <w:rFonts w:hint="default"/>
                <w:sz w:val="22"/>
                <w:szCs w:val="22"/>
              </w:rPr>
              <w:t>正泰，天水213，常熟</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7333F1">
            <w:pPr>
              <w:spacing w:beforeLines="0" w:afterLines="0"/>
              <w:jc w:val="center"/>
              <w:rPr>
                <w:rFonts w:hint="default"/>
                <w:sz w:val="22"/>
                <w:szCs w:val="22"/>
              </w:rPr>
            </w:pPr>
          </w:p>
        </w:tc>
      </w:tr>
      <w:tr w14:paraId="0E52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A0DB73">
            <w:pPr>
              <w:spacing w:beforeLines="0" w:afterLines="0"/>
              <w:jc w:val="center"/>
              <w:rPr>
                <w:rFonts w:hint="default"/>
                <w:sz w:val="22"/>
                <w:szCs w:val="22"/>
              </w:rPr>
            </w:pPr>
            <w:r>
              <w:rPr>
                <w:rFonts w:hint="default"/>
                <w:sz w:val="22"/>
                <w:szCs w:val="22"/>
              </w:rPr>
              <w:t>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79568E">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F271C6">
            <w:pPr>
              <w:spacing w:beforeLines="0" w:afterLines="0"/>
              <w:jc w:val="center"/>
              <w:rPr>
                <w:rFonts w:hint="default"/>
                <w:sz w:val="22"/>
                <w:szCs w:val="22"/>
              </w:rPr>
            </w:pPr>
            <w:r>
              <w:rPr>
                <w:rFonts w:hint="default"/>
                <w:sz w:val="22"/>
                <w:szCs w:val="22"/>
              </w:rPr>
              <w:t>TMY-80*8</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8AAF63">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39319">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45242">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65F8B7">
            <w:pPr>
              <w:spacing w:beforeLines="0" w:afterLines="0"/>
              <w:jc w:val="center"/>
              <w:rPr>
                <w:rFonts w:hint="default"/>
                <w:sz w:val="22"/>
                <w:szCs w:val="22"/>
              </w:rPr>
            </w:pPr>
          </w:p>
        </w:tc>
      </w:tr>
      <w:tr w14:paraId="0836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8A224E">
            <w:pPr>
              <w:spacing w:beforeLines="0" w:afterLines="0"/>
              <w:jc w:val="center"/>
              <w:rPr>
                <w:rFonts w:hint="default"/>
                <w:sz w:val="22"/>
                <w:szCs w:val="22"/>
              </w:rPr>
            </w:pPr>
            <w:r>
              <w:rPr>
                <w:rFonts w:hint="default"/>
                <w:sz w:val="22"/>
                <w:szCs w:val="22"/>
              </w:rPr>
              <w:t>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78FD0E">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A47611">
            <w:pPr>
              <w:spacing w:beforeLines="0" w:afterLines="0"/>
              <w:jc w:val="center"/>
              <w:rPr>
                <w:rFonts w:hint="default"/>
                <w:sz w:val="22"/>
                <w:szCs w:val="22"/>
              </w:rPr>
            </w:pPr>
            <w:r>
              <w:rPr>
                <w:rFonts w:hint="default"/>
                <w:sz w:val="22"/>
                <w:szCs w:val="22"/>
              </w:rPr>
              <w:t>TMY-50*5</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71EFEF">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5CC8">
            <w:pPr>
              <w:spacing w:beforeLines="0" w:afterLines="0"/>
              <w:jc w:val="center"/>
              <w:rPr>
                <w:rFonts w:hint="default"/>
                <w:sz w:val="22"/>
                <w:szCs w:val="22"/>
              </w:rPr>
            </w:pPr>
            <w:r>
              <w:rPr>
                <w:rFonts w:hint="default"/>
                <w:sz w:val="22"/>
                <w:szCs w:val="22"/>
              </w:rPr>
              <w:t>3</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FEEFA6">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8031F7">
            <w:pPr>
              <w:spacing w:beforeLines="0" w:afterLines="0"/>
              <w:jc w:val="center"/>
              <w:rPr>
                <w:rFonts w:hint="default"/>
                <w:sz w:val="22"/>
                <w:szCs w:val="22"/>
              </w:rPr>
            </w:pPr>
          </w:p>
        </w:tc>
      </w:tr>
      <w:tr w14:paraId="2D89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749789">
            <w:pPr>
              <w:spacing w:beforeLines="0" w:afterLines="0"/>
              <w:jc w:val="center"/>
              <w:rPr>
                <w:rFonts w:hint="default"/>
                <w:sz w:val="22"/>
                <w:szCs w:val="22"/>
              </w:rPr>
            </w:pPr>
            <w:r>
              <w:rPr>
                <w:rFonts w:hint="default"/>
                <w:sz w:val="22"/>
                <w:szCs w:val="22"/>
              </w:rPr>
              <w:t>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553992">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AF2359">
            <w:pPr>
              <w:spacing w:beforeLines="0" w:afterLines="0"/>
              <w:jc w:val="center"/>
              <w:rPr>
                <w:rFonts w:hint="default"/>
                <w:sz w:val="22"/>
                <w:szCs w:val="22"/>
              </w:rPr>
            </w:pPr>
            <w:r>
              <w:rPr>
                <w:rFonts w:hint="default"/>
                <w:sz w:val="22"/>
                <w:szCs w:val="22"/>
              </w:rPr>
              <w:t>TMY-30*4</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244E67">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FD77FD">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F5EFC5">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73FEDE">
            <w:pPr>
              <w:spacing w:beforeLines="0" w:afterLines="0"/>
              <w:jc w:val="center"/>
              <w:rPr>
                <w:rFonts w:hint="default"/>
                <w:sz w:val="22"/>
                <w:szCs w:val="22"/>
              </w:rPr>
            </w:pPr>
          </w:p>
        </w:tc>
      </w:tr>
      <w:tr w14:paraId="4DF7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9AF70">
            <w:pPr>
              <w:spacing w:beforeLines="0" w:afterLines="0"/>
              <w:jc w:val="center"/>
              <w:rPr>
                <w:rFonts w:hint="default"/>
                <w:sz w:val="22"/>
                <w:szCs w:val="22"/>
              </w:rPr>
            </w:pPr>
            <w:r>
              <w:rPr>
                <w:rFonts w:hint="default"/>
                <w:sz w:val="22"/>
                <w:szCs w:val="22"/>
              </w:rPr>
              <w:t>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A95925">
            <w:pPr>
              <w:spacing w:beforeLines="0" w:afterLines="0"/>
              <w:jc w:val="center"/>
              <w:rPr>
                <w:rFonts w:hint="default"/>
                <w:sz w:val="22"/>
                <w:szCs w:val="22"/>
              </w:rPr>
            </w:pP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EA82E0">
            <w:pPr>
              <w:spacing w:beforeLines="0" w:afterLines="0"/>
              <w:jc w:val="center"/>
              <w:rPr>
                <w:rFonts w:hint="default"/>
                <w:sz w:val="22"/>
                <w:szCs w:val="22"/>
              </w:rPr>
            </w:pP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D92C0">
            <w:pPr>
              <w:spacing w:beforeLines="0" w:afterLines="0"/>
              <w:jc w:val="center"/>
              <w:rPr>
                <w:rFonts w:hint="default"/>
                <w:sz w:val="22"/>
                <w:szCs w:val="22"/>
              </w:rPr>
            </w:pP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404EF">
            <w:pPr>
              <w:spacing w:beforeLines="0" w:afterLines="0"/>
              <w:jc w:val="center"/>
              <w:rPr>
                <w:rFonts w:hint="default"/>
                <w:sz w:val="22"/>
                <w:szCs w:val="22"/>
              </w:rPr>
            </w:pP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FFDD16">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A39F6">
            <w:pPr>
              <w:spacing w:beforeLines="0" w:afterLines="0"/>
              <w:jc w:val="center"/>
              <w:rPr>
                <w:rFonts w:hint="default"/>
                <w:sz w:val="22"/>
                <w:szCs w:val="22"/>
              </w:rPr>
            </w:pPr>
          </w:p>
        </w:tc>
      </w:tr>
      <w:tr w14:paraId="3C8DA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0FE3004A">
            <w:pPr>
              <w:spacing w:beforeLines="0" w:afterLines="0"/>
              <w:rPr>
                <w:rFonts w:hint="default"/>
                <w:sz w:val="22"/>
                <w:szCs w:val="22"/>
              </w:rPr>
            </w:pPr>
            <w:r>
              <w:rPr>
                <w:rFonts w:hint="default"/>
                <w:sz w:val="22"/>
                <w:szCs w:val="22"/>
              </w:rPr>
              <w:t>设备编号：AA04</w:t>
            </w:r>
          </w:p>
        </w:tc>
        <w:tc>
          <w:tcPr>
            <w:tcW w:w="4871"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1EA2BDE0">
            <w:pPr>
              <w:spacing w:beforeLines="0" w:afterLines="0"/>
              <w:rPr>
                <w:rFonts w:hint="default"/>
                <w:sz w:val="22"/>
                <w:szCs w:val="22"/>
              </w:rPr>
            </w:pPr>
            <w:r>
              <w:rPr>
                <w:rFonts w:hint="default"/>
                <w:sz w:val="22"/>
                <w:szCs w:val="22"/>
              </w:rPr>
              <w:t>设备型号：GGD</w:t>
            </w:r>
          </w:p>
        </w:tc>
      </w:tr>
      <w:tr w14:paraId="3458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2D2D13">
            <w:pPr>
              <w:spacing w:beforeLines="0" w:afterLines="0"/>
              <w:jc w:val="center"/>
              <w:rPr>
                <w:rFonts w:hint="default"/>
                <w:sz w:val="22"/>
                <w:szCs w:val="22"/>
              </w:rPr>
            </w:pPr>
            <w:r>
              <w:rPr>
                <w:rFonts w:hint="default"/>
                <w:sz w:val="22"/>
                <w:szCs w:val="22"/>
              </w:rPr>
              <w:t>序号</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C21F35">
            <w:pPr>
              <w:spacing w:beforeLines="0" w:afterLines="0"/>
              <w:jc w:val="center"/>
              <w:rPr>
                <w:rFonts w:hint="default"/>
                <w:sz w:val="22"/>
                <w:szCs w:val="22"/>
              </w:rPr>
            </w:pPr>
            <w:r>
              <w:rPr>
                <w:rFonts w:hint="default"/>
                <w:sz w:val="22"/>
                <w:szCs w:val="22"/>
              </w:rPr>
              <w:t>名称</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BB1B91">
            <w:pPr>
              <w:spacing w:beforeLines="0" w:afterLines="0"/>
              <w:jc w:val="center"/>
              <w:rPr>
                <w:rFonts w:hint="default"/>
                <w:sz w:val="22"/>
                <w:szCs w:val="22"/>
              </w:rPr>
            </w:pPr>
            <w:r>
              <w:rPr>
                <w:rFonts w:hint="default"/>
                <w:sz w:val="22"/>
                <w:szCs w:val="22"/>
              </w:rPr>
              <w:t>规格及型号</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03F458">
            <w:pPr>
              <w:spacing w:beforeLines="0" w:afterLines="0"/>
              <w:jc w:val="center"/>
              <w:rPr>
                <w:rFonts w:hint="default"/>
                <w:sz w:val="22"/>
                <w:szCs w:val="22"/>
              </w:rPr>
            </w:pPr>
            <w:r>
              <w:rPr>
                <w:rFonts w:hint="default"/>
                <w:sz w:val="22"/>
                <w:szCs w:val="22"/>
              </w:rPr>
              <w:t>单位</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0B86AB">
            <w:pPr>
              <w:spacing w:beforeLines="0" w:afterLines="0"/>
              <w:jc w:val="center"/>
              <w:rPr>
                <w:rFonts w:hint="default"/>
                <w:sz w:val="22"/>
                <w:szCs w:val="22"/>
              </w:rPr>
            </w:pPr>
            <w:r>
              <w:rPr>
                <w:rFonts w:hint="default"/>
                <w:sz w:val="22"/>
                <w:szCs w:val="22"/>
              </w:rPr>
              <w:t>数量</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610A3C">
            <w:pPr>
              <w:spacing w:beforeLines="0" w:afterLines="0"/>
              <w:jc w:val="center"/>
              <w:rPr>
                <w:rFonts w:hint="eastAsia" w:eastAsia="宋体"/>
                <w:sz w:val="22"/>
                <w:szCs w:val="22"/>
                <w:lang w:eastAsia="zh-CN"/>
              </w:rPr>
            </w:pPr>
            <w:r>
              <w:rPr>
                <w:rFonts w:hint="eastAsia"/>
                <w:sz w:val="22"/>
                <w:szCs w:val="22"/>
                <w:lang w:eastAsia="zh-CN"/>
              </w:rPr>
              <w:t>参照或相当于</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2B9F7">
            <w:pPr>
              <w:spacing w:beforeLines="0" w:afterLines="0"/>
              <w:jc w:val="center"/>
              <w:rPr>
                <w:rFonts w:hint="default"/>
                <w:sz w:val="22"/>
                <w:szCs w:val="22"/>
              </w:rPr>
            </w:pPr>
            <w:r>
              <w:rPr>
                <w:rFonts w:hint="default"/>
                <w:sz w:val="22"/>
                <w:szCs w:val="22"/>
              </w:rPr>
              <w:t>备注</w:t>
            </w:r>
          </w:p>
        </w:tc>
      </w:tr>
      <w:tr w14:paraId="1179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07DC1F">
            <w:pPr>
              <w:spacing w:beforeLines="0" w:afterLines="0"/>
              <w:jc w:val="center"/>
              <w:rPr>
                <w:rFonts w:hint="default"/>
                <w:sz w:val="22"/>
                <w:szCs w:val="22"/>
              </w:rPr>
            </w:pPr>
            <w:r>
              <w:rPr>
                <w:rFonts w:hint="default"/>
                <w:sz w:val="22"/>
                <w:szCs w:val="22"/>
              </w:rPr>
              <w:t>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9A8A9B">
            <w:pPr>
              <w:widowControl/>
              <w:spacing w:beforeLines="0" w:afterLines="0"/>
              <w:textAlignment w:val="center"/>
              <w:rPr>
                <w:rFonts w:hint="default" w:ascii="??" w:hAnsi="??" w:eastAsia="??" w:cs="??"/>
                <w:color w:val="000000"/>
                <w:kern w:val="2"/>
                <w:sz w:val="22"/>
                <w:szCs w:val="22"/>
              </w:rPr>
            </w:pPr>
            <w:r>
              <w:rPr>
                <w:rFonts w:hint="default" w:ascii="??" w:hAnsi="??" w:eastAsia="??" w:cs="??"/>
                <w:color w:val="000000"/>
                <w:sz w:val="22"/>
                <w:szCs w:val="22"/>
                <w:lang w:bidi="ar"/>
              </w:rPr>
              <w:t>开启式刀开关</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300E3">
            <w:pPr>
              <w:spacing w:beforeLines="0" w:afterLines="0"/>
              <w:jc w:val="center"/>
              <w:rPr>
                <w:rFonts w:hint="default"/>
                <w:sz w:val="22"/>
                <w:szCs w:val="22"/>
              </w:rPr>
            </w:pPr>
            <w:r>
              <w:rPr>
                <w:rFonts w:hint="default"/>
                <w:sz w:val="22"/>
                <w:szCs w:val="22"/>
              </w:rPr>
              <w:t>HD13-200/31 玻板</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82D56">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7D355D">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8DFF06">
            <w:pPr>
              <w:widowControl/>
              <w:spacing w:beforeLines="0" w:afterLines="0"/>
              <w:textAlignment w:val="center"/>
              <w:rPr>
                <w:rFonts w:hint="default" w:ascii="??" w:hAnsi="??" w:eastAsia="??" w:cs="??"/>
                <w:color w:val="000000"/>
                <w:kern w:val="2"/>
                <w:sz w:val="22"/>
                <w:szCs w:val="22"/>
              </w:rPr>
            </w:pPr>
            <w:r>
              <w:rPr>
                <w:rFonts w:hint="default"/>
                <w:sz w:val="22"/>
                <w:szCs w:val="22"/>
              </w:rPr>
              <w:t>正泰，天水213，常熟</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5D5023">
            <w:pPr>
              <w:spacing w:beforeLines="0" w:afterLines="0"/>
              <w:jc w:val="center"/>
              <w:rPr>
                <w:rFonts w:hint="default"/>
                <w:sz w:val="22"/>
                <w:szCs w:val="22"/>
              </w:rPr>
            </w:pPr>
          </w:p>
        </w:tc>
      </w:tr>
      <w:tr w14:paraId="63DC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34A04D">
            <w:pPr>
              <w:spacing w:beforeLines="0" w:afterLines="0"/>
              <w:jc w:val="center"/>
              <w:rPr>
                <w:rFonts w:hint="default"/>
                <w:sz w:val="22"/>
                <w:szCs w:val="22"/>
              </w:rPr>
            </w:pPr>
            <w:r>
              <w:rPr>
                <w:rFonts w:hint="default"/>
                <w:sz w:val="22"/>
                <w:szCs w:val="22"/>
              </w:rPr>
              <w:t>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9FA464">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21A210">
            <w:pPr>
              <w:spacing w:beforeLines="0" w:afterLines="0"/>
              <w:jc w:val="center"/>
              <w:rPr>
                <w:rFonts w:hint="default"/>
                <w:sz w:val="22"/>
                <w:szCs w:val="22"/>
              </w:rPr>
            </w:pPr>
            <w:r>
              <w:rPr>
                <w:rFonts w:hint="default"/>
                <w:sz w:val="22"/>
                <w:szCs w:val="22"/>
              </w:rPr>
              <w:t>TMY-80*8</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795E6C">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3229A2">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FDDED">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110F3D">
            <w:pPr>
              <w:spacing w:beforeLines="0" w:afterLines="0"/>
              <w:jc w:val="center"/>
              <w:rPr>
                <w:rFonts w:hint="default"/>
                <w:sz w:val="22"/>
                <w:szCs w:val="22"/>
              </w:rPr>
            </w:pPr>
          </w:p>
        </w:tc>
      </w:tr>
      <w:tr w14:paraId="3EB3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755A57">
            <w:pPr>
              <w:spacing w:beforeLines="0" w:afterLines="0"/>
              <w:jc w:val="center"/>
              <w:rPr>
                <w:rFonts w:hint="default"/>
                <w:sz w:val="22"/>
                <w:szCs w:val="22"/>
              </w:rPr>
            </w:pPr>
            <w:r>
              <w:rPr>
                <w:rFonts w:hint="default"/>
                <w:sz w:val="22"/>
                <w:szCs w:val="22"/>
              </w:rPr>
              <w:t>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BE1C02">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D57D3D">
            <w:pPr>
              <w:spacing w:beforeLines="0" w:afterLines="0"/>
              <w:jc w:val="center"/>
              <w:rPr>
                <w:rFonts w:hint="default"/>
                <w:sz w:val="22"/>
                <w:szCs w:val="22"/>
              </w:rPr>
            </w:pPr>
            <w:r>
              <w:rPr>
                <w:rFonts w:hint="default"/>
                <w:sz w:val="22"/>
                <w:szCs w:val="22"/>
              </w:rPr>
              <w:t>TMY-50*5</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60AF5">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EED4BA">
            <w:pPr>
              <w:spacing w:beforeLines="0" w:afterLines="0"/>
              <w:jc w:val="center"/>
              <w:rPr>
                <w:rFonts w:hint="default"/>
                <w:sz w:val="22"/>
                <w:szCs w:val="22"/>
              </w:rPr>
            </w:pPr>
            <w:r>
              <w:rPr>
                <w:rFonts w:hint="default"/>
                <w:sz w:val="22"/>
                <w:szCs w:val="22"/>
              </w:rPr>
              <w:t>3</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696AC9">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3EF1DA">
            <w:pPr>
              <w:spacing w:beforeLines="0" w:afterLines="0"/>
              <w:jc w:val="center"/>
              <w:rPr>
                <w:rFonts w:hint="default"/>
                <w:sz w:val="22"/>
                <w:szCs w:val="22"/>
              </w:rPr>
            </w:pPr>
          </w:p>
        </w:tc>
      </w:tr>
      <w:tr w14:paraId="16EA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958333">
            <w:pPr>
              <w:spacing w:beforeLines="0" w:afterLines="0"/>
              <w:jc w:val="center"/>
              <w:rPr>
                <w:rFonts w:hint="default"/>
                <w:sz w:val="22"/>
                <w:szCs w:val="22"/>
              </w:rPr>
            </w:pPr>
            <w:r>
              <w:rPr>
                <w:rFonts w:hint="default"/>
                <w:sz w:val="22"/>
                <w:szCs w:val="22"/>
              </w:rPr>
              <w:t>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BAE221">
            <w:pPr>
              <w:spacing w:beforeLines="0" w:afterLines="0"/>
              <w:jc w:val="center"/>
              <w:rPr>
                <w:rFonts w:hint="default"/>
                <w:sz w:val="22"/>
                <w:szCs w:val="22"/>
              </w:rPr>
            </w:pPr>
            <w:r>
              <w:rPr>
                <w:rFonts w:hint="default"/>
                <w:sz w:val="22"/>
                <w:szCs w:val="22"/>
              </w:rPr>
              <w:t>铜排</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9286DB">
            <w:pPr>
              <w:spacing w:beforeLines="0" w:afterLines="0"/>
              <w:jc w:val="center"/>
              <w:rPr>
                <w:rFonts w:hint="default"/>
                <w:sz w:val="22"/>
                <w:szCs w:val="22"/>
              </w:rPr>
            </w:pPr>
            <w:r>
              <w:rPr>
                <w:rFonts w:hint="default"/>
                <w:sz w:val="22"/>
                <w:szCs w:val="22"/>
              </w:rPr>
              <w:t>TMY-30*4</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B7A488">
            <w:pPr>
              <w:spacing w:beforeLines="0" w:afterLines="0"/>
              <w:jc w:val="center"/>
              <w:rPr>
                <w:rFonts w:hint="default"/>
                <w:sz w:val="22"/>
                <w:szCs w:val="22"/>
              </w:rPr>
            </w:pPr>
            <w:r>
              <w:rPr>
                <w:rFonts w:hint="default"/>
                <w:sz w:val="22"/>
                <w:szCs w:val="22"/>
              </w:rPr>
              <w:t>米</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523B7">
            <w:pPr>
              <w:spacing w:beforeLines="0" w:afterLines="0"/>
              <w:jc w:val="center"/>
              <w:rPr>
                <w:rFonts w:hint="default"/>
                <w:sz w:val="22"/>
                <w:szCs w:val="22"/>
              </w:rPr>
            </w:pPr>
            <w:r>
              <w:rPr>
                <w:rFonts w:hint="default"/>
                <w:sz w:val="22"/>
                <w:szCs w:val="22"/>
              </w:rPr>
              <w:t>4.5</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B08902">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4340D0">
            <w:pPr>
              <w:spacing w:beforeLines="0" w:afterLines="0"/>
              <w:jc w:val="center"/>
              <w:rPr>
                <w:rFonts w:hint="default"/>
                <w:sz w:val="22"/>
                <w:szCs w:val="22"/>
              </w:rPr>
            </w:pPr>
          </w:p>
        </w:tc>
      </w:tr>
      <w:tr w14:paraId="51B1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3DE4A">
            <w:pPr>
              <w:spacing w:beforeLines="0" w:afterLines="0"/>
              <w:jc w:val="center"/>
              <w:rPr>
                <w:rFonts w:hint="default"/>
                <w:sz w:val="22"/>
                <w:szCs w:val="22"/>
              </w:rPr>
            </w:pPr>
            <w:r>
              <w:rPr>
                <w:rFonts w:hint="default"/>
                <w:sz w:val="22"/>
                <w:szCs w:val="22"/>
              </w:rPr>
              <w:t>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F17CAC">
            <w:pPr>
              <w:spacing w:beforeLines="0" w:afterLines="0"/>
              <w:jc w:val="center"/>
              <w:rPr>
                <w:rFonts w:hint="default"/>
                <w:sz w:val="22"/>
                <w:szCs w:val="22"/>
              </w:rPr>
            </w:pP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691BA8">
            <w:pPr>
              <w:spacing w:beforeLines="0" w:afterLines="0"/>
              <w:jc w:val="center"/>
              <w:rPr>
                <w:rFonts w:hint="default"/>
                <w:sz w:val="22"/>
                <w:szCs w:val="22"/>
              </w:rPr>
            </w:pP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07BD21">
            <w:pPr>
              <w:spacing w:beforeLines="0" w:afterLines="0"/>
              <w:jc w:val="center"/>
              <w:rPr>
                <w:rFonts w:hint="default"/>
                <w:sz w:val="22"/>
                <w:szCs w:val="22"/>
              </w:rPr>
            </w:pP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FC611">
            <w:pPr>
              <w:spacing w:beforeLines="0" w:afterLines="0"/>
              <w:jc w:val="center"/>
              <w:rPr>
                <w:rFonts w:hint="default"/>
                <w:sz w:val="22"/>
                <w:szCs w:val="22"/>
              </w:rPr>
            </w:pP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748FA3">
            <w:pPr>
              <w:spacing w:beforeLines="0" w:afterLines="0"/>
              <w:jc w:val="center"/>
              <w:rPr>
                <w:rFonts w:hint="default"/>
                <w:sz w:val="22"/>
                <w:szCs w:val="22"/>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6D0557">
            <w:pPr>
              <w:spacing w:beforeLines="0" w:afterLines="0"/>
              <w:jc w:val="center"/>
              <w:rPr>
                <w:rFonts w:hint="default"/>
                <w:sz w:val="22"/>
                <w:szCs w:val="22"/>
              </w:rPr>
            </w:pPr>
          </w:p>
        </w:tc>
      </w:tr>
      <w:tr w14:paraId="1BF2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l2br w:val="nil"/>
              <w:tr2bl w:val="nil"/>
            </w:tcBorders>
            <w:noWrap w:val="0"/>
            <w:vAlign w:val="top"/>
          </w:tcPr>
          <w:p w14:paraId="7716E849">
            <w:pPr>
              <w:spacing w:beforeLines="0" w:afterLines="0"/>
              <w:rPr>
                <w:rFonts w:hint="default"/>
                <w:sz w:val="22"/>
                <w:szCs w:val="22"/>
              </w:rPr>
            </w:pPr>
            <w:r>
              <w:rPr>
                <w:rFonts w:hint="default"/>
                <w:sz w:val="22"/>
                <w:szCs w:val="22"/>
              </w:rPr>
              <w:t>设备编号：PLC1</w:t>
            </w:r>
          </w:p>
        </w:tc>
        <w:tc>
          <w:tcPr>
            <w:tcW w:w="4871"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52862CE7">
            <w:pPr>
              <w:spacing w:beforeLines="0" w:afterLines="0"/>
              <w:rPr>
                <w:rFonts w:hint="default"/>
                <w:sz w:val="22"/>
                <w:szCs w:val="22"/>
              </w:rPr>
            </w:pPr>
            <w:r>
              <w:rPr>
                <w:rFonts w:hint="default"/>
                <w:sz w:val="22"/>
                <w:szCs w:val="22"/>
              </w:rPr>
              <w:t>设备型号：GGD柜型</w:t>
            </w:r>
          </w:p>
        </w:tc>
      </w:tr>
      <w:tr w14:paraId="3856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6144B1">
            <w:pPr>
              <w:spacing w:beforeLines="0" w:afterLines="0"/>
              <w:jc w:val="center"/>
              <w:rPr>
                <w:rFonts w:hint="default"/>
                <w:sz w:val="22"/>
                <w:szCs w:val="22"/>
              </w:rPr>
            </w:pPr>
            <w:r>
              <w:rPr>
                <w:rFonts w:hint="default"/>
                <w:sz w:val="22"/>
                <w:szCs w:val="22"/>
              </w:rPr>
              <w:t>序号</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49942">
            <w:pPr>
              <w:spacing w:beforeLines="0" w:afterLines="0"/>
              <w:jc w:val="center"/>
              <w:rPr>
                <w:rFonts w:hint="default"/>
                <w:sz w:val="22"/>
                <w:szCs w:val="22"/>
              </w:rPr>
            </w:pPr>
            <w:r>
              <w:rPr>
                <w:rFonts w:hint="default"/>
                <w:sz w:val="22"/>
                <w:szCs w:val="22"/>
              </w:rPr>
              <w:t>名称</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BACA69">
            <w:pPr>
              <w:spacing w:beforeLines="0" w:afterLines="0"/>
              <w:jc w:val="center"/>
              <w:rPr>
                <w:rFonts w:hint="default"/>
                <w:sz w:val="22"/>
                <w:szCs w:val="22"/>
              </w:rPr>
            </w:pPr>
            <w:r>
              <w:rPr>
                <w:rFonts w:hint="default"/>
                <w:sz w:val="22"/>
                <w:szCs w:val="22"/>
              </w:rPr>
              <w:t>规格及型号</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CE8CCD">
            <w:pPr>
              <w:spacing w:beforeLines="0" w:afterLines="0"/>
              <w:jc w:val="center"/>
              <w:rPr>
                <w:rFonts w:hint="default"/>
                <w:sz w:val="22"/>
                <w:szCs w:val="22"/>
              </w:rPr>
            </w:pPr>
            <w:r>
              <w:rPr>
                <w:rFonts w:hint="default"/>
                <w:sz w:val="22"/>
                <w:szCs w:val="22"/>
              </w:rPr>
              <w:t>单位</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C1DDD6">
            <w:pPr>
              <w:spacing w:beforeLines="0" w:afterLines="0"/>
              <w:jc w:val="center"/>
              <w:rPr>
                <w:rFonts w:hint="default"/>
                <w:sz w:val="22"/>
                <w:szCs w:val="22"/>
              </w:rPr>
            </w:pPr>
            <w:r>
              <w:rPr>
                <w:rFonts w:hint="default"/>
                <w:sz w:val="22"/>
                <w:szCs w:val="22"/>
              </w:rPr>
              <w:t>数量</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D32FC">
            <w:pPr>
              <w:spacing w:beforeLines="0" w:afterLines="0"/>
              <w:jc w:val="center"/>
              <w:rPr>
                <w:rFonts w:hint="eastAsia" w:eastAsia="宋体"/>
                <w:sz w:val="22"/>
                <w:szCs w:val="22"/>
                <w:lang w:eastAsia="zh-CN"/>
              </w:rPr>
            </w:pPr>
            <w:r>
              <w:rPr>
                <w:rFonts w:hint="eastAsia"/>
                <w:sz w:val="22"/>
                <w:szCs w:val="22"/>
                <w:lang w:eastAsia="zh-CN"/>
              </w:rPr>
              <w:t>参照或相当于</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29A04">
            <w:pPr>
              <w:spacing w:beforeLines="0" w:afterLines="0"/>
              <w:jc w:val="center"/>
              <w:rPr>
                <w:rFonts w:hint="default"/>
                <w:sz w:val="22"/>
                <w:szCs w:val="22"/>
              </w:rPr>
            </w:pPr>
            <w:r>
              <w:rPr>
                <w:rFonts w:hint="default"/>
                <w:sz w:val="22"/>
                <w:szCs w:val="22"/>
              </w:rPr>
              <w:t>备注</w:t>
            </w:r>
          </w:p>
        </w:tc>
      </w:tr>
      <w:tr w14:paraId="6701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D0D7D6">
            <w:pPr>
              <w:spacing w:beforeLines="0" w:afterLines="0"/>
              <w:jc w:val="center"/>
              <w:rPr>
                <w:rFonts w:hint="default"/>
                <w:sz w:val="22"/>
                <w:szCs w:val="22"/>
              </w:rPr>
            </w:pPr>
            <w:bookmarkStart w:id="15" w:name="OLE_LINK1" w:colFirst="5" w:colLast="6"/>
            <w:r>
              <w:rPr>
                <w:rFonts w:hint="default"/>
                <w:sz w:val="22"/>
                <w:szCs w:val="22"/>
              </w:rPr>
              <w:t>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50AFB4">
            <w:pPr>
              <w:spacing w:beforeLines="0" w:afterLines="0"/>
              <w:jc w:val="center"/>
              <w:rPr>
                <w:rFonts w:hint="default" w:ascii="??" w:hAnsi="??" w:eastAsia="??" w:cs="??"/>
                <w:color w:val="000000"/>
                <w:kern w:val="2"/>
                <w:sz w:val="22"/>
                <w:szCs w:val="22"/>
              </w:rPr>
            </w:pPr>
            <w:r>
              <w:rPr>
                <w:rFonts w:hint="default"/>
                <w:sz w:val="22"/>
                <w:szCs w:val="22"/>
              </w:rPr>
              <w:t>处理器</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85491D">
            <w:pPr>
              <w:spacing w:beforeLines="0" w:afterLines="0"/>
              <w:jc w:val="center"/>
              <w:rPr>
                <w:rFonts w:hint="default"/>
                <w:sz w:val="22"/>
                <w:szCs w:val="22"/>
              </w:rPr>
            </w:pPr>
            <w:r>
              <w:rPr>
                <w:rFonts w:hint="default"/>
                <w:sz w:val="22"/>
                <w:szCs w:val="22"/>
              </w:rPr>
              <w:t>1756-L71</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9E4C93">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F33B2">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EBEB6B">
            <w:pPr>
              <w:widowControl/>
              <w:spacing w:beforeLines="0" w:afterLines="0"/>
              <w:jc w:val="center"/>
              <w:textAlignment w:val="center"/>
              <w:rPr>
                <w:rFonts w:hint="default" w:ascii="??" w:hAnsi="??" w:eastAsia="??" w:cs="??"/>
                <w:color w:val="000000"/>
                <w:kern w:val="2"/>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4ED9E2">
            <w:pPr>
              <w:spacing w:beforeLines="0" w:afterLines="0"/>
              <w:jc w:val="center"/>
              <w:rPr>
                <w:rFonts w:hint="default"/>
                <w:sz w:val="22"/>
                <w:szCs w:val="22"/>
              </w:rPr>
            </w:pPr>
            <w:r>
              <w:rPr>
                <w:rFonts w:hint="default"/>
                <w:sz w:val="22"/>
                <w:szCs w:val="22"/>
              </w:rPr>
              <w:t>罗克韦尔</w:t>
            </w:r>
          </w:p>
        </w:tc>
      </w:tr>
      <w:bookmarkEnd w:id="15"/>
      <w:tr w14:paraId="0A32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9B3A28">
            <w:pPr>
              <w:spacing w:beforeLines="0" w:afterLines="0"/>
              <w:jc w:val="center"/>
              <w:rPr>
                <w:rFonts w:hint="default"/>
                <w:sz w:val="22"/>
                <w:szCs w:val="22"/>
              </w:rPr>
            </w:pPr>
            <w:r>
              <w:rPr>
                <w:rFonts w:hint="default"/>
                <w:sz w:val="22"/>
                <w:szCs w:val="22"/>
              </w:rPr>
              <w:t>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7493F">
            <w:pPr>
              <w:spacing w:beforeLines="0" w:afterLines="0"/>
              <w:jc w:val="center"/>
              <w:rPr>
                <w:rFonts w:hint="default"/>
                <w:sz w:val="22"/>
                <w:szCs w:val="22"/>
              </w:rPr>
            </w:pPr>
            <w:r>
              <w:rPr>
                <w:rFonts w:hint="default"/>
                <w:sz w:val="22"/>
                <w:szCs w:val="22"/>
              </w:rPr>
              <w:t>数字量输入</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F7E8AE">
            <w:pPr>
              <w:spacing w:beforeLines="0" w:afterLines="0"/>
              <w:jc w:val="center"/>
              <w:rPr>
                <w:rFonts w:hint="default"/>
                <w:sz w:val="22"/>
                <w:szCs w:val="22"/>
              </w:rPr>
            </w:pPr>
            <w:r>
              <w:rPr>
                <w:rFonts w:hint="default"/>
                <w:sz w:val="22"/>
                <w:szCs w:val="22"/>
              </w:rPr>
              <w:t>1756-IB32</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68EA23">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9A228E">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08146E">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31BDDB">
            <w:pPr>
              <w:spacing w:beforeLines="0" w:afterLines="0"/>
              <w:jc w:val="center"/>
              <w:rPr>
                <w:rFonts w:hint="default"/>
                <w:sz w:val="22"/>
                <w:szCs w:val="22"/>
              </w:rPr>
            </w:pPr>
            <w:r>
              <w:rPr>
                <w:rFonts w:hint="default"/>
                <w:sz w:val="22"/>
                <w:szCs w:val="22"/>
              </w:rPr>
              <w:t>罗克韦尔</w:t>
            </w:r>
          </w:p>
        </w:tc>
      </w:tr>
      <w:tr w14:paraId="616D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7375F7">
            <w:pPr>
              <w:spacing w:beforeLines="0" w:afterLines="0"/>
              <w:jc w:val="center"/>
              <w:rPr>
                <w:rFonts w:hint="default"/>
                <w:sz w:val="22"/>
                <w:szCs w:val="22"/>
              </w:rPr>
            </w:pPr>
            <w:r>
              <w:rPr>
                <w:rFonts w:hint="default"/>
                <w:sz w:val="22"/>
                <w:szCs w:val="22"/>
              </w:rPr>
              <w:t>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3CB2FF">
            <w:pPr>
              <w:spacing w:beforeLines="0" w:afterLines="0"/>
              <w:jc w:val="center"/>
              <w:rPr>
                <w:rFonts w:hint="default"/>
                <w:sz w:val="22"/>
                <w:szCs w:val="22"/>
              </w:rPr>
            </w:pPr>
            <w:r>
              <w:rPr>
                <w:rFonts w:hint="default"/>
                <w:sz w:val="22"/>
                <w:szCs w:val="22"/>
              </w:rPr>
              <w:t>数字量输出</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534615">
            <w:pPr>
              <w:spacing w:beforeLines="0" w:afterLines="0"/>
              <w:jc w:val="center"/>
              <w:rPr>
                <w:rFonts w:hint="default"/>
                <w:sz w:val="22"/>
                <w:szCs w:val="22"/>
              </w:rPr>
            </w:pPr>
            <w:r>
              <w:rPr>
                <w:rFonts w:hint="default"/>
                <w:sz w:val="22"/>
                <w:szCs w:val="22"/>
              </w:rPr>
              <w:t>1756-0B32</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52EDB4">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347C38">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F5D3BF">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A80C62">
            <w:pPr>
              <w:spacing w:beforeLines="0" w:afterLines="0"/>
              <w:jc w:val="center"/>
              <w:rPr>
                <w:rFonts w:hint="default"/>
                <w:sz w:val="22"/>
                <w:szCs w:val="22"/>
              </w:rPr>
            </w:pPr>
            <w:r>
              <w:rPr>
                <w:rFonts w:hint="default"/>
                <w:sz w:val="22"/>
                <w:szCs w:val="22"/>
              </w:rPr>
              <w:t>罗克韦尔</w:t>
            </w:r>
          </w:p>
        </w:tc>
      </w:tr>
      <w:tr w14:paraId="26EB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5DFD41">
            <w:pPr>
              <w:spacing w:beforeLines="0" w:afterLines="0"/>
              <w:jc w:val="center"/>
              <w:rPr>
                <w:rFonts w:hint="default"/>
                <w:sz w:val="22"/>
                <w:szCs w:val="22"/>
              </w:rPr>
            </w:pPr>
            <w:r>
              <w:rPr>
                <w:rFonts w:hint="default"/>
                <w:sz w:val="22"/>
                <w:szCs w:val="22"/>
              </w:rPr>
              <w:t>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2ADD2">
            <w:pPr>
              <w:spacing w:beforeLines="0" w:afterLines="0"/>
              <w:jc w:val="center"/>
              <w:rPr>
                <w:rFonts w:hint="default"/>
                <w:sz w:val="22"/>
                <w:szCs w:val="22"/>
              </w:rPr>
            </w:pPr>
            <w:r>
              <w:rPr>
                <w:rFonts w:hint="default"/>
                <w:sz w:val="22"/>
                <w:szCs w:val="22"/>
              </w:rPr>
              <w:t>模拟量输入</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58125B">
            <w:pPr>
              <w:spacing w:beforeLines="0" w:afterLines="0"/>
              <w:jc w:val="center"/>
              <w:rPr>
                <w:rFonts w:hint="default"/>
                <w:sz w:val="22"/>
                <w:szCs w:val="22"/>
              </w:rPr>
            </w:pPr>
            <w:r>
              <w:rPr>
                <w:rFonts w:hint="default"/>
                <w:sz w:val="22"/>
                <w:szCs w:val="22"/>
              </w:rPr>
              <w:t>1756-IF16</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C7FC73">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11D43D">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41F23">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F6CD59">
            <w:pPr>
              <w:spacing w:beforeLines="0" w:afterLines="0"/>
              <w:jc w:val="center"/>
              <w:rPr>
                <w:rFonts w:hint="default"/>
                <w:sz w:val="22"/>
                <w:szCs w:val="22"/>
              </w:rPr>
            </w:pPr>
            <w:r>
              <w:rPr>
                <w:rFonts w:hint="default"/>
                <w:sz w:val="22"/>
                <w:szCs w:val="22"/>
              </w:rPr>
              <w:t>罗克韦尔</w:t>
            </w:r>
          </w:p>
        </w:tc>
      </w:tr>
      <w:tr w14:paraId="61C0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9B1E53">
            <w:pPr>
              <w:spacing w:beforeLines="0" w:afterLines="0"/>
              <w:jc w:val="center"/>
              <w:rPr>
                <w:rFonts w:hint="default"/>
                <w:sz w:val="22"/>
                <w:szCs w:val="22"/>
              </w:rPr>
            </w:pPr>
            <w:r>
              <w:rPr>
                <w:rFonts w:hint="default"/>
                <w:sz w:val="22"/>
                <w:szCs w:val="22"/>
              </w:rPr>
              <w:t>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53164">
            <w:pPr>
              <w:spacing w:beforeLines="0" w:afterLines="0"/>
              <w:jc w:val="center"/>
              <w:rPr>
                <w:rFonts w:hint="default"/>
                <w:sz w:val="22"/>
                <w:szCs w:val="22"/>
              </w:rPr>
            </w:pPr>
            <w:r>
              <w:rPr>
                <w:rFonts w:hint="default"/>
                <w:sz w:val="22"/>
                <w:szCs w:val="22"/>
              </w:rPr>
              <w:t>模拟量输出</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2E835A">
            <w:pPr>
              <w:spacing w:beforeLines="0" w:afterLines="0"/>
              <w:jc w:val="center"/>
              <w:rPr>
                <w:rFonts w:hint="default"/>
                <w:sz w:val="22"/>
                <w:szCs w:val="22"/>
              </w:rPr>
            </w:pPr>
            <w:r>
              <w:rPr>
                <w:rFonts w:hint="default"/>
                <w:sz w:val="22"/>
                <w:szCs w:val="22"/>
              </w:rPr>
              <w:t>1756-0F8</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571F25">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56227">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BE5038">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4FA40F">
            <w:pPr>
              <w:spacing w:beforeLines="0" w:afterLines="0"/>
              <w:jc w:val="center"/>
              <w:rPr>
                <w:rFonts w:hint="default"/>
                <w:sz w:val="22"/>
                <w:szCs w:val="22"/>
              </w:rPr>
            </w:pPr>
            <w:r>
              <w:rPr>
                <w:rFonts w:hint="default"/>
                <w:sz w:val="22"/>
                <w:szCs w:val="22"/>
              </w:rPr>
              <w:t>罗克韦尔</w:t>
            </w:r>
          </w:p>
        </w:tc>
      </w:tr>
      <w:tr w14:paraId="4FA0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14B4A3">
            <w:pPr>
              <w:spacing w:beforeLines="0" w:afterLines="0"/>
              <w:jc w:val="center"/>
              <w:rPr>
                <w:rFonts w:hint="default" w:ascii="Calibri"/>
                <w:sz w:val="22"/>
                <w:szCs w:val="22"/>
              </w:rPr>
            </w:pPr>
            <w:r>
              <w:rPr>
                <w:rFonts w:hint="default"/>
                <w:sz w:val="22"/>
                <w:szCs w:val="22"/>
              </w:rPr>
              <w:t>6</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6D1245">
            <w:pPr>
              <w:spacing w:beforeLines="0" w:afterLines="0"/>
              <w:jc w:val="center"/>
              <w:rPr>
                <w:rFonts w:hint="default"/>
                <w:sz w:val="22"/>
                <w:szCs w:val="22"/>
              </w:rPr>
            </w:pPr>
            <w:r>
              <w:rPr>
                <w:rFonts w:hint="default"/>
                <w:sz w:val="22"/>
                <w:szCs w:val="22"/>
              </w:rPr>
              <w:t>端子条</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40F8C">
            <w:pPr>
              <w:spacing w:beforeLines="0" w:afterLines="0"/>
              <w:jc w:val="center"/>
              <w:rPr>
                <w:rFonts w:hint="default"/>
                <w:sz w:val="22"/>
                <w:szCs w:val="22"/>
              </w:rPr>
            </w:pPr>
            <w:r>
              <w:rPr>
                <w:rFonts w:hint="default"/>
                <w:sz w:val="22"/>
                <w:szCs w:val="22"/>
              </w:rPr>
              <w:t>1756-TBCH</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8AD3D1">
            <w:pPr>
              <w:spacing w:beforeLines="0" w:afterLines="0"/>
              <w:jc w:val="center"/>
              <w:rPr>
                <w:rFonts w:hint="default"/>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B1C324">
            <w:pPr>
              <w:spacing w:beforeLines="0" w:afterLines="0"/>
              <w:jc w:val="center"/>
              <w:rPr>
                <w:rFonts w:hint="default"/>
                <w:sz w:val="22"/>
                <w:szCs w:val="22"/>
              </w:rPr>
            </w:pPr>
            <w:r>
              <w:rPr>
                <w:rFonts w:hint="default"/>
                <w:sz w:val="22"/>
                <w:szCs w:val="22"/>
              </w:rPr>
              <w:t>4</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625DE8">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66284D">
            <w:pPr>
              <w:spacing w:beforeLines="0" w:afterLines="0"/>
              <w:jc w:val="center"/>
              <w:rPr>
                <w:rFonts w:hint="default"/>
                <w:sz w:val="22"/>
                <w:szCs w:val="22"/>
              </w:rPr>
            </w:pPr>
            <w:r>
              <w:rPr>
                <w:rFonts w:hint="default"/>
                <w:sz w:val="22"/>
                <w:szCs w:val="22"/>
              </w:rPr>
              <w:t>罗克韦尔</w:t>
            </w:r>
          </w:p>
        </w:tc>
      </w:tr>
      <w:tr w14:paraId="1EA2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0DD043">
            <w:pPr>
              <w:spacing w:beforeLines="0" w:afterLines="0"/>
              <w:jc w:val="center"/>
              <w:rPr>
                <w:rFonts w:hint="default" w:ascii="Calibri"/>
                <w:sz w:val="22"/>
                <w:szCs w:val="22"/>
              </w:rPr>
            </w:pPr>
            <w:r>
              <w:rPr>
                <w:rFonts w:hint="default"/>
                <w:sz w:val="22"/>
                <w:szCs w:val="22"/>
              </w:rPr>
              <w:t>7</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A47E02">
            <w:pPr>
              <w:spacing w:beforeLines="0" w:afterLines="0"/>
              <w:jc w:val="center"/>
              <w:rPr>
                <w:rFonts w:hint="default"/>
                <w:sz w:val="22"/>
                <w:szCs w:val="22"/>
              </w:rPr>
            </w:pPr>
            <w:r>
              <w:rPr>
                <w:rFonts w:hint="default"/>
                <w:sz w:val="22"/>
                <w:szCs w:val="22"/>
              </w:rPr>
              <w:t>电源</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65844E">
            <w:pPr>
              <w:spacing w:beforeLines="0" w:afterLines="0"/>
              <w:jc w:val="center"/>
              <w:rPr>
                <w:rFonts w:hint="default"/>
                <w:sz w:val="22"/>
                <w:szCs w:val="22"/>
              </w:rPr>
            </w:pPr>
            <w:r>
              <w:rPr>
                <w:rFonts w:hint="default"/>
                <w:sz w:val="22"/>
                <w:szCs w:val="22"/>
              </w:rPr>
              <w:t>1756-PA75</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EA9A4">
            <w:pPr>
              <w:spacing w:beforeLines="0" w:afterLines="0"/>
              <w:jc w:val="center"/>
              <w:rPr>
                <w:rFonts w:hint="default" w:ascii="Calibri"/>
                <w:sz w:val="22"/>
                <w:szCs w:val="22"/>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75E5AF">
            <w:pPr>
              <w:spacing w:beforeLines="0" w:afterLines="0"/>
              <w:jc w:val="center"/>
              <w:rPr>
                <w:rFonts w:hint="default"/>
                <w:sz w:val="22"/>
                <w:szCs w:val="22"/>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05C9FB">
            <w:pPr>
              <w:widowControl/>
              <w:spacing w:beforeLines="0" w:afterLines="0"/>
              <w:jc w:val="center"/>
              <w:textAlignment w:val="center"/>
              <w:rPr>
                <w:rFonts w:hint="default"/>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F06A32">
            <w:pPr>
              <w:spacing w:beforeLines="0" w:afterLines="0"/>
              <w:jc w:val="center"/>
              <w:rPr>
                <w:rFonts w:hint="default"/>
                <w:sz w:val="22"/>
                <w:szCs w:val="22"/>
              </w:rPr>
            </w:pPr>
            <w:r>
              <w:rPr>
                <w:rFonts w:hint="default"/>
                <w:sz w:val="22"/>
                <w:szCs w:val="22"/>
              </w:rPr>
              <w:t>罗克韦尔</w:t>
            </w:r>
          </w:p>
        </w:tc>
      </w:tr>
      <w:tr w14:paraId="6B8B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2A6107">
            <w:pPr>
              <w:spacing w:beforeLines="0" w:afterLines="0"/>
              <w:jc w:val="center"/>
              <w:rPr>
                <w:rFonts w:hint="default" w:ascii="Calibri"/>
                <w:sz w:val="22"/>
                <w:szCs w:val="22"/>
              </w:rPr>
            </w:pPr>
            <w:r>
              <w:rPr>
                <w:rFonts w:hint="default"/>
                <w:sz w:val="22"/>
                <w:szCs w:val="22"/>
              </w:rPr>
              <w:t>8</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4CB6C8">
            <w:pPr>
              <w:spacing w:beforeLines="0" w:afterLines="0"/>
              <w:jc w:val="center"/>
              <w:rPr>
                <w:rFonts w:hint="default"/>
                <w:sz w:val="22"/>
                <w:szCs w:val="22"/>
              </w:rPr>
            </w:pPr>
            <w:r>
              <w:rPr>
                <w:rFonts w:hint="default"/>
                <w:sz w:val="22"/>
                <w:szCs w:val="22"/>
              </w:rPr>
              <w:t>机架</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810144">
            <w:pPr>
              <w:spacing w:beforeLines="0" w:afterLines="0"/>
              <w:rPr>
                <w:rFonts w:hint="default"/>
                <w:sz w:val="22"/>
                <w:szCs w:val="22"/>
              </w:rPr>
            </w:pPr>
            <w:r>
              <w:rPr>
                <w:rFonts w:hint="default"/>
                <w:sz w:val="22"/>
                <w:szCs w:val="22"/>
              </w:rPr>
              <w:t>1756-A7</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F9334B">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5A54F2">
            <w:pPr>
              <w:spacing w:beforeLines="0" w:afterLines="0"/>
              <w:jc w:val="center"/>
              <w:rPr>
                <w:rFonts w:hint="default" w:hAnsi="Calibri" w:cs="Times New Roman"/>
                <w:kern w:val="2"/>
                <w:sz w:val="21"/>
                <w:szCs w:val="24"/>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031ED">
            <w:pPr>
              <w:widowControl/>
              <w:spacing w:beforeLines="0" w:afterLines="0"/>
              <w:jc w:val="center"/>
              <w:textAlignment w:val="center"/>
              <w:rPr>
                <w:rFonts w:hint="default" w:ascii="??" w:hAnsi="??" w:eastAsia="??" w:cs="??"/>
                <w:color w:val="000000"/>
                <w:kern w:val="2"/>
                <w:sz w:val="22"/>
                <w:szCs w:val="22"/>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37F225">
            <w:pPr>
              <w:spacing w:beforeLines="0" w:afterLines="0"/>
              <w:jc w:val="center"/>
              <w:rPr>
                <w:rFonts w:hint="default" w:ascii="Calibri" w:hAnsi="Calibri" w:cs="Times New Roman"/>
                <w:kern w:val="2"/>
                <w:sz w:val="21"/>
                <w:szCs w:val="24"/>
              </w:rPr>
            </w:pPr>
            <w:r>
              <w:rPr>
                <w:rFonts w:hint="default"/>
                <w:sz w:val="22"/>
                <w:szCs w:val="22"/>
              </w:rPr>
              <w:t>罗克韦尔</w:t>
            </w:r>
          </w:p>
        </w:tc>
      </w:tr>
      <w:tr w14:paraId="6B9A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7557DF">
            <w:pPr>
              <w:spacing w:beforeLines="0" w:afterLines="0"/>
              <w:jc w:val="center"/>
              <w:rPr>
                <w:rFonts w:hint="default" w:ascii="Calibri"/>
                <w:sz w:val="22"/>
                <w:szCs w:val="22"/>
              </w:rPr>
            </w:pPr>
            <w:r>
              <w:rPr>
                <w:rFonts w:hint="default"/>
                <w:sz w:val="22"/>
                <w:szCs w:val="22"/>
              </w:rPr>
              <w:t>9</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00F8B">
            <w:pPr>
              <w:spacing w:beforeLines="0" w:afterLines="0"/>
              <w:jc w:val="center"/>
              <w:rPr>
                <w:rFonts w:hint="default"/>
                <w:sz w:val="22"/>
                <w:szCs w:val="22"/>
              </w:rPr>
            </w:pPr>
            <w:r>
              <w:rPr>
                <w:rFonts w:hint="default"/>
                <w:sz w:val="22"/>
                <w:szCs w:val="22"/>
              </w:rPr>
              <w:t>以太网模块</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9DF209">
            <w:pPr>
              <w:spacing w:beforeLines="0" w:afterLines="0"/>
              <w:rPr>
                <w:rFonts w:hint="default"/>
                <w:sz w:val="22"/>
                <w:szCs w:val="22"/>
              </w:rPr>
            </w:pPr>
            <w:r>
              <w:rPr>
                <w:rFonts w:hint="default"/>
                <w:sz w:val="22"/>
                <w:szCs w:val="22"/>
              </w:rPr>
              <w:t>1756-EN2T</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DF439D">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293FC">
            <w:pPr>
              <w:spacing w:beforeLines="0" w:afterLines="0"/>
              <w:jc w:val="center"/>
              <w:rPr>
                <w:rFonts w:hint="default" w:hAnsi="Calibri" w:cs="Times New Roman"/>
                <w:kern w:val="2"/>
                <w:sz w:val="21"/>
                <w:szCs w:val="24"/>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E9234E">
            <w:pPr>
              <w:widowControl/>
              <w:spacing w:beforeLines="0" w:afterLines="0"/>
              <w:jc w:val="center"/>
              <w:textAlignment w:val="center"/>
              <w:rPr>
                <w:rFonts w:hint="default" w:ascii="Calibri" w:hAnsi="Calibri" w:cs="Times New Roman"/>
                <w:kern w:val="2"/>
                <w:sz w:val="21"/>
                <w:szCs w:val="24"/>
              </w:rPr>
            </w:pPr>
            <w:r>
              <w:rPr>
                <w:rFonts w:hint="default" w:ascii="??" w:hAnsi="??" w:eastAsia="??" w:cs="??"/>
                <w:color w:val="000000"/>
                <w:sz w:val="22"/>
                <w:szCs w:val="22"/>
                <w:lang w:bidi="ar"/>
              </w:rPr>
              <w:t>罗克韦尔</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88DB38">
            <w:pPr>
              <w:spacing w:beforeLines="0" w:afterLines="0"/>
              <w:jc w:val="center"/>
              <w:rPr>
                <w:rFonts w:hint="default" w:ascii="Calibri" w:hAnsi="Calibri" w:cs="Times New Roman"/>
                <w:kern w:val="2"/>
                <w:sz w:val="21"/>
                <w:szCs w:val="24"/>
              </w:rPr>
            </w:pPr>
            <w:r>
              <w:rPr>
                <w:rFonts w:hint="default"/>
                <w:sz w:val="22"/>
                <w:szCs w:val="22"/>
              </w:rPr>
              <w:t>罗克韦尔</w:t>
            </w:r>
          </w:p>
        </w:tc>
      </w:tr>
      <w:tr w14:paraId="2D4E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090B0B">
            <w:pPr>
              <w:spacing w:beforeLines="0" w:afterLines="0"/>
              <w:jc w:val="center"/>
              <w:rPr>
                <w:rFonts w:hint="default" w:ascii="Calibri"/>
                <w:sz w:val="22"/>
                <w:szCs w:val="22"/>
              </w:rPr>
            </w:pPr>
            <w:r>
              <w:rPr>
                <w:rFonts w:hint="default"/>
                <w:sz w:val="22"/>
                <w:szCs w:val="22"/>
              </w:rPr>
              <w:t>10</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7691DF">
            <w:pPr>
              <w:spacing w:beforeLines="0" w:afterLines="0"/>
              <w:jc w:val="center"/>
              <w:rPr>
                <w:rFonts w:hint="default"/>
                <w:sz w:val="22"/>
                <w:szCs w:val="22"/>
              </w:rPr>
            </w:pPr>
            <w:r>
              <w:rPr>
                <w:rFonts w:hint="default"/>
                <w:sz w:val="22"/>
                <w:szCs w:val="22"/>
              </w:rPr>
              <w:t>小型继电器</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1512A6">
            <w:pPr>
              <w:spacing w:beforeLines="0" w:afterLines="0"/>
              <w:rPr>
                <w:rFonts w:hint="default"/>
                <w:sz w:val="22"/>
                <w:szCs w:val="22"/>
              </w:rPr>
            </w:pPr>
            <w:r>
              <w:rPr>
                <w:rFonts w:hint="default"/>
                <w:sz w:val="22"/>
                <w:szCs w:val="22"/>
              </w:rPr>
              <w:t>RXM2AB2BD</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C7E284">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036FD5">
            <w:pPr>
              <w:spacing w:beforeLines="0" w:afterLines="0"/>
              <w:jc w:val="center"/>
              <w:rPr>
                <w:rFonts w:hint="default" w:ascii="Calibri" w:hAnsi="Calibri" w:cs="Times New Roman"/>
                <w:kern w:val="2"/>
                <w:sz w:val="21"/>
                <w:szCs w:val="24"/>
              </w:rPr>
            </w:pPr>
            <w:r>
              <w:rPr>
                <w:rFonts w:hint="default" w:cs="Times New Roman"/>
                <w:kern w:val="2"/>
                <w:sz w:val="21"/>
                <w:szCs w:val="24"/>
              </w:rPr>
              <w:t>32</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539012">
            <w:pPr>
              <w:spacing w:beforeLines="0" w:afterLines="0"/>
              <w:jc w:val="center"/>
              <w:rPr>
                <w:rFonts w:hint="default" w:ascii="Calibri" w:hAnsi="Calibri" w:cs="Times New Roman"/>
                <w:kern w:val="2"/>
                <w:sz w:val="21"/>
                <w:szCs w:val="24"/>
              </w:rPr>
            </w:pPr>
            <w:r>
              <w:rPr>
                <w:rFonts w:hint="default" w:cs="Times New Roman"/>
                <w:kern w:val="2"/>
                <w:sz w:val="21"/>
                <w:szCs w:val="24"/>
              </w:rPr>
              <w:t>施耐德</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D9C863">
            <w:pPr>
              <w:spacing w:beforeLines="0" w:afterLines="0"/>
              <w:jc w:val="center"/>
              <w:rPr>
                <w:rFonts w:hint="default" w:ascii="Calibri" w:hAnsi="Calibri" w:cs="Times New Roman"/>
                <w:kern w:val="2"/>
                <w:sz w:val="21"/>
                <w:szCs w:val="24"/>
              </w:rPr>
            </w:pPr>
          </w:p>
        </w:tc>
      </w:tr>
      <w:tr w14:paraId="6639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A0F1D2">
            <w:pPr>
              <w:spacing w:beforeLines="0" w:afterLines="0"/>
              <w:jc w:val="center"/>
              <w:rPr>
                <w:rFonts w:hint="default" w:ascii="Calibri"/>
                <w:sz w:val="22"/>
                <w:szCs w:val="22"/>
              </w:rPr>
            </w:pPr>
            <w:r>
              <w:rPr>
                <w:rFonts w:hint="default"/>
                <w:sz w:val="22"/>
                <w:szCs w:val="22"/>
              </w:rPr>
              <w:t>11</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96D152">
            <w:pPr>
              <w:spacing w:beforeLines="0" w:afterLines="0"/>
              <w:jc w:val="center"/>
              <w:rPr>
                <w:rFonts w:hint="default"/>
                <w:sz w:val="22"/>
                <w:szCs w:val="22"/>
              </w:rPr>
            </w:pPr>
            <w:r>
              <w:rPr>
                <w:rFonts w:hint="default"/>
                <w:sz w:val="22"/>
                <w:szCs w:val="22"/>
              </w:rPr>
              <w:t>隔离器</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5EECEA">
            <w:pPr>
              <w:widowControl/>
              <w:spacing w:beforeLines="0" w:afterLines="0"/>
              <w:textAlignment w:val="center"/>
              <w:rPr>
                <w:rFonts w:hint="default"/>
                <w:sz w:val="22"/>
                <w:szCs w:val="22"/>
              </w:rPr>
            </w:pPr>
            <w:r>
              <w:rPr>
                <w:rFonts w:hint="default" w:hAnsi="宋体"/>
                <w:color w:val="000000"/>
                <w:sz w:val="22"/>
                <w:szCs w:val="22"/>
                <w:lang w:bidi="ar"/>
              </w:rPr>
              <w:t>NPEXA-CM11</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DFFC61">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E4B260">
            <w:pPr>
              <w:spacing w:beforeLines="0" w:afterLines="0"/>
              <w:jc w:val="center"/>
              <w:rPr>
                <w:rFonts w:hint="default" w:ascii="Calibri" w:hAnsi="Calibri" w:cs="Times New Roman"/>
                <w:kern w:val="2"/>
                <w:sz w:val="21"/>
                <w:szCs w:val="24"/>
              </w:rPr>
            </w:pPr>
            <w:r>
              <w:rPr>
                <w:rFonts w:hint="default" w:cs="Times New Roman"/>
                <w:kern w:val="2"/>
                <w:sz w:val="21"/>
                <w:szCs w:val="24"/>
              </w:rPr>
              <w:t>24</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4BF04E">
            <w:pPr>
              <w:spacing w:beforeLines="0" w:afterLines="0"/>
              <w:jc w:val="center"/>
              <w:rPr>
                <w:rFonts w:hint="default" w:ascii="Calibri" w:hAnsi="Calibri" w:cs="Times New Roman"/>
                <w:kern w:val="2"/>
                <w:sz w:val="21"/>
                <w:szCs w:val="24"/>
              </w:rPr>
            </w:pPr>
            <w:r>
              <w:rPr>
                <w:rFonts w:hint="default" w:cs="Times New Roman"/>
                <w:kern w:val="2"/>
                <w:sz w:val="21"/>
                <w:szCs w:val="24"/>
              </w:rPr>
              <w:t>南京优倍</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A6C4A2">
            <w:pPr>
              <w:spacing w:beforeLines="0" w:afterLines="0"/>
              <w:jc w:val="center"/>
              <w:rPr>
                <w:rFonts w:hint="default" w:ascii="Calibri" w:hAnsi="Calibri" w:cs="Times New Roman"/>
                <w:kern w:val="2"/>
                <w:sz w:val="21"/>
                <w:szCs w:val="24"/>
              </w:rPr>
            </w:pPr>
          </w:p>
        </w:tc>
      </w:tr>
      <w:tr w14:paraId="5FDF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top"/>
          </w:tcPr>
          <w:p w14:paraId="709CD45F">
            <w:pPr>
              <w:spacing w:beforeLines="0" w:afterLines="0"/>
              <w:jc w:val="center"/>
              <w:rPr>
                <w:rFonts w:hint="default" w:ascii="Calibri"/>
                <w:sz w:val="22"/>
                <w:szCs w:val="22"/>
              </w:rPr>
            </w:pPr>
            <w:r>
              <w:rPr>
                <w:rFonts w:hint="default"/>
                <w:sz w:val="22"/>
                <w:szCs w:val="22"/>
              </w:rPr>
              <w:t>12</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top"/>
          </w:tcPr>
          <w:p w14:paraId="60D68F04">
            <w:pPr>
              <w:spacing w:beforeLines="0" w:afterLines="0"/>
              <w:jc w:val="center"/>
              <w:rPr>
                <w:rFonts w:hint="default"/>
                <w:sz w:val="22"/>
                <w:szCs w:val="22"/>
              </w:rPr>
            </w:pPr>
            <w:r>
              <w:rPr>
                <w:rFonts w:hint="default"/>
                <w:sz w:val="22"/>
                <w:szCs w:val="22"/>
              </w:rPr>
              <w:t>直流电源</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AB2962">
            <w:pPr>
              <w:widowControl/>
              <w:spacing w:beforeLines="0" w:afterLines="0"/>
              <w:textAlignment w:val="center"/>
              <w:rPr>
                <w:rFonts w:hint="default"/>
                <w:sz w:val="22"/>
                <w:szCs w:val="22"/>
              </w:rPr>
            </w:pPr>
            <w:r>
              <w:rPr>
                <w:rFonts w:hint="default" w:hAnsi="宋体"/>
                <w:color w:val="000000"/>
                <w:sz w:val="22"/>
                <w:szCs w:val="22"/>
                <w:lang w:bidi="ar"/>
              </w:rPr>
              <w:t>6EP13343BA10  10A</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DCA20">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F486B4">
            <w:pPr>
              <w:spacing w:beforeLines="0" w:afterLines="0"/>
              <w:jc w:val="center"/>
              <w:rPr>
                <w:rFonts w:hint="default" w:hAnsi="Calibri" w:cs="Times New Roman"/>
                <w:kern w:val="2"/>
                <w:sz w:val="21"/>
                <w:szCs w:val="24"/>
              </w:rPr>
            </w:pPr>
            <w:r>
              <w:rPr>
                <w:rFonts w:hint="default"/>
                <w:sz w:val="22"/>
                <w:szCs w:val="22"/>
              </w:rPr>
              <w:t>1</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D524F">
            <w:pPr>
              <w:spacing w:beforeLines="0" w:afterLines="0"/>
              <w:jc w:val="center"/>
              <w:rPr>
                <w:rFonts w:hint="default" w:ascii="Calibri" w:hAnsi="Calibri" w:cs="Times New Roman"/>
                <w:kern w:val="2"/>
                <w:sz w:val="21"/>
                <w:szCs w:val="24"/>
              </w:rPr>
            </w:pPr>
            <w:r>
              <w:rPr>
                <w:rFonts w:hint="default" w:cs="Times New Roman"/>
                <w:kern w:val="2"/>
                <w:sz w:val="21"/>
                <w:szCs w:val="24"/>
              </w:rPr>
              <w:t>施耐德、ABB、西门子</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A3F528">
            <w:pPr>
              <w:spacing w:beforeLines="0" w:afterLines="0"/>
              <w:jc w:val="center"/>
              <w:rPr>
                <w:rFonts w:hint="default" w:ascii="Calibri" w:hAnsi="Calibri" w:cs="Times New Roman"/>
                <w:kern w:val="2"/>
                <w:sz w:val="21"/>
                <w:szCs w:val="24"/>
              </w:rPr>
            </w:pPr>
          </w:p>
        </w:tc>
      </w:tr>
      <w:tr w14:paraId="452B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top"/>
          </w:tcPr>
          <w:p w14:paraId="15F0A836">
            <w:pPr>
              <w:spacing w:beforeLines="0" w:afterLines="0"/>
              <w:jc w:val="center"/>
              <w:rPr>
                <w:rFonts w:hint="default" w:ascii="Calibri"/>
                <w:sz w:val="22"/>
                <w:szCs w:val="22"/>
              </w:rPr>
            </w:pPr>
            <w:r>
              <w:rPr>
                <w:rFonts w:hint="default"/>
                <w:sz w:val="22"/>
                <w:szCs w:val="22"/>
              </w:rPr>
              <w:t>13</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top"/>
          </w:tcPr>
          <w:p w14:paraId="08EB00E2">
            <w:pPr>
              <w:spacing w:beforeLines="0" w:afterLines="0"/>
              <w:jc w:val="center"/>
              <w:rPr>
                <w:rFonts w:hint="default"/>
                <w:sz w:val="22"/>
                <w:szCs w:val="22"/>
              </w:rPr>
            </w:pPr>
            <w:r>
              <w:rPr>
                <w:rFonts w:hint="default"/>
                <w:sz w:val="22"/>
                <w:szCs w:val="22"/>
              </w:rPr>
              <w:t>断路器</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936061">
            <w:pPr>
              <w:widowControl/>
              <w:spacing w:beforeLines="0" w:afterLines="0"/>
              <w:textAlignment w:val="center"/>
              <w:rPr>
                <w:rFonts w:hint="default"/>
                <w:sz w:val="22"/>
                <w:szCs w:val="22"/>
              </w:rPr>
            </w:pPr>
            <w:r>
              <w:rPr>
                <w:rFonts w:hint="default" w:hAnsi="宋体"/>
                <w:color w:val="000000"/>
                <w:sz w:val="22"/>
                <w:szCs w:val="22"/>
                <w:lang w:bidi="ar"/>
              </w:rPr>
              <w:t>IC65N 2P C6A</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E2CFBD">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E3E5C8">
            <w:pPr>
              <w:spacing w:beforeLines="0" w:afterLines="0"/>
              <w:jc w:val="center"/>
              <w:rPr>
                <w:rFonts w:hint="default" w:hAnsi="Calibri" w:cs="Times New Roman"/>
                <w:kern w:val="2"/>
                <w:sz w:val="21"/>
                <w:szCs w:val="24"/>
              </w:rPr>
            </w:pPr>
            <w:r>
              <w:rPr>
                <w:rFonts w:hint="default"/>
                <w:sz w:val="22"/>
                <w:szCs w:val="22"/>
              </w:rPr>
              <w:t>6</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3521FE">
            <w:pPr>
              <w:spacing w:beforeLines="0" w:afterLines="0"/>
              <w:jc w:val="center"/>
              <w:rPr>
                <w:rFonts w:hint="default" w:ascii="Calibri" w:hAnsi="Calibri" w:cs="Times New Roman"/>
                <w:kern w:val="2"/>
                <w:sz w:val="21"/>
                <w:szCs w:val="24"/>
              </w:rPr>
            </w:pPr>
            <w:r>
              <w:rPr>
                <w:rFonts w:hint="default" w:cs="Times New Roman"/>
                <w:kern w:val="2"/>
                <w:sz w:val="21"/>
                <w:szCs w:val="24"/>
              </w:rPr>
              <w:t>施耐德、ABB、西门子</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0C07DC">
            <w:pPr>
              <w:spacing w:beforeLines="0" w:afterLines="0"/>
              <w:jc w:val="center"/>
              <w:rPr>
                <w:rFonts w:hint="default" w:ascii="Calibri" w:hAnsi="Calibri" w:cs="Times New Roman"/>
                <w:kern w:val="2"/>
                <w:sz w:val="21"/>
                <w:szCs w:val="24"/>
              </w:rPr>
            </w:pPr>
          </w:p>
        </w:tc>
      </w:tr>
      <w:tr w14:paraId="39F3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top"/>
          </w:tcPr>
          <w:p w14:paraId="1A413B6A">
            <w:pPr>
              <w:spacing w:beforeLines="0" w:afterLines="0"/>
              <w:jc w:val="center"/>
              <w:rPr>
                <w:rFonts w:hint="default" w:ascii="Calibri"/>
                <w:sz w:val="22"/>
                <w:szCs w:val="22"/>
              </w:rPr>
            </w:pPr>
            <w:r>
              <w:rPr>
                <w:rFonts w:hint="default"/>
                <w:sz w:val="22"/>
                <w:szCs w:val="22"/>
              </w:rPr>
              <w:t>14</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top"/>
          </w:tcPr>
          <w:p w14:paraId="2E4F46B3">
            <w:pPr>
              <w:spacing w:beforeLines="0" w:afterLines="0"/>
              <w:jc w:val="center"/>
              <w:rPr>
                <w:rFonts w:hint="default"/>
                <w:sz w:val="22"/>
                <w:szCs w:val="22"/>
              </w:rPr>
            </w:pPr>
            <w:r>
              <w:rPr>
                <w:rFonts w:hint="default"/>
                <w:sz w:val="22"/>
                <w:szCs w:val="22"/>
              </w:rPr>
              <w:t>直流断路器</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16FC6E">
            <w:pPr>
              <w:widowControl/>
              <w:spacing w:beforeLines="0" w:afterLines="0"/>
              <w:textAlignment w:val="center"/>
              <w:rPr>
                <w:rFonts w:hint="default"/>
                <w:sz w:val="22"/>
                <w:szCs w:val="22"/>
              </w:rPr>
            </w:pPr>
            <w:r>
              <w:rPr>
                <w:rFonts w:hint="default" w:hAnsi="宋体"/>
                <w:color w:val="000000"/>
                <w:sz w:val="22"/>
                <w:szCs w:val="22"/>
                <w:lang w:bidi="ar"/>
              </w:rPr>
              <w:t>IC65N-DC 1P 1A</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2180FB">
            <w:pPr>
              <w:spacing w:beforeLines="0" w:afterLines="0"/>
              <w:jc w:val="center"/>
              <w:rPr>
                <w:rFonts w:hint="default" w:hAnsi="Calibri" w:cs="Times New Roman"/>
                <w:kern w:val="2"/>
                <w:sz w:val="21"/>
                <w:szCs w:val="24"/>
              </w:rPr>
            </w:pPr>
            <w:r>
              <w:rPr>
                <w:rFonts w:hint="default"/>
                <w:sz w:val="22"/>
                <w:szCs w:val="22"/>
              </w:rPr>
              <w:t>个</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442A75">
            <w:pPr>
              <w:spacing w:beforeLines="0" w:afterLines="0"/>
              <w:jc w:val="center"/>
              <w:rPr>
                <w:rFonts w:hint="default" w:ascii="Calibri" w:hAnsi="Calibri" w:cs="Times New Roman"/>
                <w:kern w:val="2"/>
                <w:sz w:val="21"/>
                <w:szCs w:val="24"/>
              </w:rPr>
            </w:pPr>
            <w:r>
              <w:rPr>
                <w:rFonts w:hint="default" w:cs="Times New Roman"/>
                <w:kern w:val="2"/>
                <w:sz w:val="21"/>
                <w:szCs w:val="24"/>
              </w:rPr>
              <w:t>24</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6501C2">
            <w:pPr>
              <w:spacing w:beforeLines="0" w:afterLines="0"/>
              <w:jc w:val="center"/>
              <w:rPr>
                <w:rFonts w:hint="default" w:ascii="Calibri" w:hAnsi="Calibri" w:cs="Times New Roman"/>
                <w:kern w:val="2"/>
                <w:sz w:val="21"/>
                <w:szCs w:val="24"/>
              </w:rPr>
            </w:pPr>
            <w:r>
              <w:rPr>
                <w:rFonts w:hint="default" w:cs="Times New Roman"/>
                <w:kern w:val="2"/>
                <w:sz w:val="21"/>
                <w:szCs w:val="24"/>
              </w:rPr>
              <w:t>施耐德、ABB、西门子</w:t>
            </w: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3437FD">
            <w:pPr>
              <w:spacing w:beforeLines="0" w:afterLines="0"/>
              <w:jc w:val="center"/>
              <w:rPr>
                <w:rFonts w:hint="default" w:ascii="Calibri" w:hAnsi="Calibri" w:cs="Times New Roman"/>
                <w:kern w:val="2"/>
                <w:sz w:val="21"/>
                <w:szCs w:val="24"/>
              </w:rPr>
            </w:pPr>
          </w:p>
        </w:tc>
      </w:tr>
      <w:tr w14:paraId="3622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l2br w:val="nil"/>
              <w:tr2bl w:val="nil"/>
            </w:tcBorders>
            <w:noWrap w:val="0"/>
            <w:vAlign w:val="top"/>
          </w:tcPr>
          <w:p w14:paraId="37E28FA1">
            <w:pPr>
              <w:spacing w:beforeLines="0" w:afterLines="0"/>
              <w:jc w:val="center"/>
              <w:rPr>
                <w:rFonts w:hint="default" w:ascii="Calibri"/>
                <w:sz w:val="22"/>
                <w:szCs w:val="22"/>
              </w:rPr>
            </w:pPr>
            <w:r>
              <w:rPr>
                <w:rFonts w:hint="default"/>
                <w:sz w:val="22"/>
                <w:szCs w:val="22"/>
              </w:rPr>
              <w:t>15</w:t>
            </w:r>
          </w:p>
        </w:tc>
        <w:tc>
          <w:tcPr>
            <w:tcW w:w="1500" w:type="dxa"/>
            <w:tcBorders>
              <w:top w:val="single" w:color="auto" w:sz="4" w:space="0"/>
              <w:left w:val="single" w:color="auto" w:sz="4" w:space="0"/>
              <w:bottom w:val="single" w:color="auto" w:sz="4" w:space="0"/>
              <w:right w:val="single" w:color="auto" w:sz="4" w:space="0"/>
              <w:tl2br w:val="nil"/>
              <w:tr2bl w:val="nil"/>
            </w:tcBorders>
            <w:noWrap w:val="0"/>
            <w:vAlign w:val="top"/>
          </w:tcPr>
          <w:p w14:paraId="638A4C9B">
            <w:pPr>
              <w:spacing w:beforeLines="0" w:afterLines="0"/>
              <w:jc w:val="center"/>
              <w:rPr>
                <w:rFonts w:hint="default"/>
                <w:sz w:val="22"/>
                <w:szCs w:val="22"/>
              </w:rPr>
            </w:pPr>
            <w:r>
              <w:rPr>
                <w:rFonts w:hint="default"/>
                <w:sz w:val="22"/>
                <w:szCs w:val="22"/>
              </w:rPr>
              <w:t>端子</w:t>
            </w:r>
          </w:p>
        </w:tc>
        <w:tc>
          <w:tcPr>
            <w:tcW w:w="1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A0097">
            <w:pPr>
              <w:widowControl/>
              <w:spacing w:beforeLines="0" w:afterLines="0"/>
              <w:textAlignment w:val="center"/>
              <w:rPr>
                <w:rFonts w:hint="default"/>
                <w:sz w:val="22"/>
                <w:szCs w:val="22"/>
              </w:rPr>
            </w:pPr>
            <w:r>
              <w:rPr>
                <w:rFonts w:hint="default" w:hAnsi="宋体"/>
                <w:color w:val="000000"/>
                <w:sz w:val="22"/>
                <w:szCs w:val="22"/>
                <w:lang w:bidi="ar"/>
              </w:rPr>
              <w:t>UK2.5B</w:t>
            </w:r>
          </w:p>
        </w:tc>
        <w:tc>
          <w:tcPr>
            <w:tcW w:w="6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64282">
            <w:pPr>
              <w:spacing w:beforeLines="0" w:afterLines="0"/>
              <w:jc w:val="center"/>
              <w:rPr>
                <w:rFonts w:hint="default"/>
                <w:sz w:val="22"/>
                <w:szCs w:val="22"/>
              </w:rPr>
            </w:pPr>
            <w:r>
              <w:rPr>
                <w:rFonts w:hint="default"/>
                <w:sz w:val="22"/>
                <w:szCs w:val="22"/>
              </w:rPr>
              <w:t>片</w:t>
            </w:r>
          </w:p>
        </w:tc>
        <w:tc>
          <w:tcPr>
            <w:tcW w:w="64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68D09C">
            <w:pPr>
              <w:spacing w:beforeLines="0" w:afterLines="0"/>
              <w:jc w:val="center"/>
              <w:rPr>
                <w:rFonts w:hint="default"/>
                <w:sz w:val="22"/>
                <w:szCs w:val="22"/>
              </w:rPr>
            </w:pPr>
            <w:r>
              <w:rPr>
                <w:rFonts w:hint="default"/>
                <w:sz w:val="22"/>
                <w:szCs w:val="22"/>
              </w:rPr>
              <w:t>200</w:t>
            </w:r>
          </w:p>
        </w:tc>
        <w:tc>
          <w:tcPr>
            <w:tcW w:w="23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B0B37B">
            <w:pPr>
              <w:spacing w:beforeLines="0" w:afterLines="0"/>
              <w:jc w:val="center"/>
              <w:rPr>
                <w:rFonts w:hint="default" w:ascii="Calibri" w:hAnsi="Calibri" w:cs="Times New Roman"/>
                <w:kern w:val="2"/>
                <w:sz w:val="21"/>
                <w:szCs w:val="24"/>
              </w:rPr>
            </w:pPr>
          </w:p>
        </w:tc>
        <w:tc>
          <w:tcPr>
            <w:tcW w:w="12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3BF4F">
            <w:pPr>
              <w:spacing w:beforeLines="0" w:afterLines="0"/>
              <w:jc w:val="center"/>
              <w:rPr>
                <w:rFonts w:hint="default" w:ascii="Calibri" w:hAnsi="Calibri" w:cs="Times New Roman"/>
                <w:kern w:val="2"/>
                <w:sz w:val="21"/>
                <w:szCs w:val="24"/>
              </w:rPr>
            </w:pPr>
          </w:p>
        </w:tc>
      </w:tr>
    </w:tbl>
    <w:p w14:paraId="212DE9E6">
      <w:pPr>
        <w:pStyle w:val="13"/>
        <w:keepNext/>
        <w:keepLines/>
        <w:numPr>
          <w:ilvl w:val="2"/>
          <w:numId w:val="0"/>
        </w:numPr>
        <w:tabs>
          <w:tab w:val="left" w:pos="1868"/>
        </w:tabs>
        <w:kinsoku w:val="0"/>
        <w:overflowPunct w:val="0"/>
        <w:spacing w:before="140" w:beforeLines="0" w:afterLines="0" w:line="360" w:lineRule="auto"/>
        <w:ind w:left="0" w:firstLine="0"/>
        <w:rPr>
          <w:rFonts w:hint="default"/>
          <w:sz w:val="24"/>
          <w:szCs w:val="24"/>
        </w:rPr>
      </w:pPr>
      <w:r>
        <w:rPr>
          <w:rFonts w:hint="default"/>
          <w:sz w:val="24"/>
          <w:szCs w:val="24"/>
        </w:rPr>
        <w:t>4.1.31刀开关容量及技术参数应与图纸一致，采用 HD13BX 系列，外壳材质采用玻璃纤维增强不饱和聚脂树脂（DMC）</w:t>
      </w:r>
      <w:r>
        <w:rPr>
          <w:rFonts w:hint="default"/>
          <w:spacing w:val="8"/>
          <w:sz w:val="24"/>
          <w:szCs w:val="24"/>
        </w:rPr>
        <w:t>制造，具备</w:t>
      </w:r>
      <w:r>
        <w:rPr>
          <w:rFonts w:hint="default"/>
          <w:sz w:val="24"/>
          <w:szCs w:val="24"/>
        </w:rPr>
        <w:t>V0</w:t>
      </w:r>
      <w:r>
        <w:rPr>
          <w:rFonts w:hint="default"/>
          <w:spacing w:val="-10"/>
          <w:sz w:val="24"/>
          <w:szCs w:val="24"/>
        </w:rPr>
        <w:t xml:space="preserve"> 级阻燃 性、优良</w:t>
      </w:r>
      <w:r>
        <w:rPr>
          <w:rFonts w:hint="default"/>
          <w:spacing w:val="-2"/>
          <w:sz w:val="24"/>
          <w:szCs w:val="24"/>
        </w:rPr>
        <w:t>绝缘性能、机械强度及耐候性。绝缘电压≥800V，工频耐压测试（相间、相</w:t>
      </w:r>
      <w:r>
        <w:rPr>
          <w:rFonts w:hint="default"/>
          <w:sz w:val="24"/>
          <w:szCs w:val="24"/>
        </w:rPr>
        <w:t>对地）≥2.5kV/1min</w:t>
      </w:r>
      <w:r>
        <w:rPr>
          <w:rFonts w:hint="default"/>
          <w:spacing w:val="-3"/>
          <w:sz w:val="24"/>
          <w:szCs w:val="24"/>
        </w:rPr>
        <w:t xml:space="preserve">，无击穿、闪络现象，绝缘电阻≥ </w:t>
      </w:r>
      <w:r>
        <w:rPr>
          <w:rFonts w:hint="default"/>
          <w:sz w:val="24"/>
          <w:szCs w:val="24"/>
        </w:rPr>
        <w:t>100MΩ；触头和接线</w:t>
      </w:r>
      <w:r>
        <w:rPr>
          <w:rFonts w:hint="default"/>
          <w:spacing w:val="7"/>
          <w:sz w:val="24"/>
          <w:szCs w:val="24"/>
        </w:rPr>
        <w:t xml:space="preserve">板采用 </w:t>
      </w:r>
      <w:r>
        <w:rPr>
          <w:rFonts w:hint="default"/>
          <w:sz w:val="24"/>
          <w:szCs w:val="24"/>
        </w:rPr>
        <w:t>T2</w:t>
      </w:r>
      <w:r>
        <w:rPr>
          <w:rFonts w:hint="default"/>
          <w:spacing w:val="8"/>
          <w:sz w:val="24"/>
          <w:szCs w:val="24"/>
        </w:rPr>
        <w:t xml:space="preserve"> 纯铜板制造，表面无氧化、杂质，导电 性能稳定，接</w:t>
      </w:r>
      <w:r>
        <w:rPr>
          <w:rFonts w:hint="default"/>
          <w:sz w:val="24"/>
          <w:szCs w:val="24"/>
        </w:rPr>
        <w:t>触电阻≤50μΩ，运行温升符合国家标准。触头分合速度 ≥13.5m/s，分合过程实现零飞弧，且分合速度不受操作力大小影响； 分断故障电流时能快速灭弧，额定通断能力符合设计要求，能可靠接通和分断额定电流及故障电流，无触头粘连、烧损等现象。</w:t>
      </w:r>
    </w:p>
    <w:p w14:paraId="13ABBCF5">
      <w:pPr>
        <w:pStyle w:val="13"/>
        <w:keepNext/>
        <w:keepLines/>
        <w:numPr>
          <w:ilvl w:val="2"/>
          <w:numId w:val="0"/>
        </w:numPr>
        <w:tabs>
          <w:tab w:val="left" w:pos="1868"/>
        </w:tabs>
        <w:kinsoku w:val="0"/>
        <w:overflowPunct w:val="0"/>
        <w:spacing w:before="140" w:beforeLines="0" w:afterLines="0" w:line="360" w:lineRule="auto"/>
        <w:ind w:left="0" w:firstLine="480" w:firstLineChars="200"/>
        <w:rPr>
          <w:rFonts w:hint="default"/>
          <w:sz w:val="24"/>
          <w:szCs w:val="24"/>
        </w:rPr>
      </w:pPr>
      <w:bookmarkStart w:id="16" w:name="_bookmark17"/>
      <w:bookmarkEnd w:id="16"/>
      <w:bookmarkStart w:id="17" w:name="5 设计、制造、检验标准"/>
      <w:bookmarkEnd w:id="17"/>
      <w:r>
        <w:rPr>
          <w:rFonts w:hint="default"/>
          <w:sz w:val="24"/>
          <w:szCs w:val="24"/>
        </w:rPr>
        <w:t>具有抗干扰、 抗震动强度≤4N/m²的能力，使用寿命 10000 次以上；刀开关在装配时静触头与动触头涂上一层固体润滑形导电材料，用于触头良好的分合和增加触头使用寿命，杜绝开关的飞弧。</w:t>
      </w:r>
    </w:p>
    <w:p w14:paraId="1ECA46C8">
      <w:pPr>
        <w:pStyle w:val="2"/>
        <w:keepNext/>
        <w:keepLines/>
        <w:numPr>
          <w:ilvl w:val="0"/>
          <w:numId w:val="0"/>
        </w:numPr>
        <w:tabs>
          <w:tab w:val="left" w:pos="720"/>
        </w:tabs>
        <w:kinsoku w:val="0"/>
        <w:overflowPunct w:val="0"/>
        <w:spacing w:before="25" w:beforeLines="0" w:afterLines="0" w:line="360" w:lineRule="auto"/>
        <w:ind w:left="0" w:firstLine="0"/>
        <w:rPr>
          <w:rFonts w:hint="default"/>
          <w:spacing w:val="-1"/>
          <w:w w:val="95"/>
          <w:sz w:val="24"/>
          <w:szCs w:val="24"/>
        </w:rPr>
      </w:pPr>
      <w:r>
        <w:rPr>
          <w:rFonts w:hint="default" w:cs="Calibri"/>
          <w:spacing w:val="-1"/>
          <w:w w:val="99"/>
          <w:sz w:val="24"/>
          <w:szCs w:val="24"/>
          <w:u w:val="none" w:color="auto"/>
        </w:rPr>
        <w:t xml:space="preserve">5 </w:t>
      </w:r>
      <w:r>
        <w:rPr>
          <w:rFonts w:hint="default"/>
          <w:spacing w:val="-1"/>
          <w:w w:val="95"/>
          <w:sz w:val="24"/>
          <w:szCs w:val="24"/>
        </w:rPr>
        <w:t>低压柜及PLC柜主要技术要求</w:t>
      </w:r>
    </w:p>
    <w:p w14:paraId="3BCEB461">
      <w:pPr>
        <w:pStyle w:val="3"/>
        <w:keepNext/>
        <w:keepLines/>
        <w:numPr>
          <w:ilvl w:val="1"/>
          <w:numId w:val="0"/>
        </w:numPr>
        <w:tabs>
          <w:tab w:val="left" w:pos="747"/>
        </w:tabs>
        <w:kinsoku w:val="0"/>
        <w:overflowPunct w:val="0"/>
        <w:spacing w:before="143" w:beforeLines="0" w:afterLines="0" w:line="360" w:lineRule="auto"/>
        <w:ind w:left="746" w:firstLine="0"/>
        <w:jc w:val="left"/>
        <w:rPr>
          <w:rFonts w:hint="default" w:cs="Arial"/>
          <w:color w:val="000000"/>
          <w:spacing w:val="-1"/>
          <w:w w:val="95"/>
          <w:sz w:val="24"/>
          <w:szCs w:val="24"/>
        </w:rPr>
      </w:pPr>
      <w:r>
        <w:rPr>
          <w:rFonts w:hint="default"/>
          <w:spacing w:val="-1"/>
          <w:w w:val="95"/>
          <w:sz w:val="24"/>
          <w:szCs w:val="24"/>
        </w:rPr>
        <w:t>电气技术要求：</w:t>
      </w:r>
    </w:p>
    <w:p w14:paraId="4D9DC4DE">
      <w:pPr>
        <w:pStyle w:val="13"/>
        <w:keepNext/>
        <w:keepLines/>
        <w:numPr>
          <w:ilvl w:val="2"/>
          <w:numId w:val="0"/>
        </w:numPr>
        <w:tabs>
          <w:tab w:val="left" w:pos="1548"/>
        </w:tabs>
        <w:kinsoku w:val="0"/>
        <w:overflowPunct w:val="0"/>
        <w:spacing w:before="140" w:beforeLines="0" w:afterLines="0" w:line="360" w:lineRule="auto"/>
        <w:ind w:left="1548" w:hanging="771"/>
        <w:jc w:val="both"/>
        <w:rPr>
          <w:rFonts w:hint="default"/>
          <w:color w:val="000000"/>
          <w:spacing w:val="-4"/>
          <w:sz w:val="24"/>
          <w:szCs w:val="24"/>
        </w:rPr>
      </w:pPr>
      <w:r>
        <w:rPr>
          <w:rFonts w:hint="default" w:cs="Times New Roman"/>
          <w:color w:val="000000"/>
          <w:spacing w:val="-2"/>
          <w:sz w:val="24"/>
          <w:szCs w:val="24"/>
          <w:u w:val="none" w:color="auto"/>
        </w:rPr>
        <w:t>5.1.1</w:t>
      </w:r>
      <w:r>
        <w:rPr>
          <w:rFonts w:hint="default"/>
          <w:spacing w:val="-4"/>
          <w:sz w:val="24"/>
          <w:szCs w:val="24"/>
        </w:rPr>
        <w:t>供配电系统</w:t>
      </w:r>
    </w:p>
    <w:p w14:paraId="553751D8">
      <w:pPr>
        <w:pStyle w:val="13"/>
        <w:keepNext/>
        <w:keepLines/>
        <w:numPr>
          <w:ilvl w:val="0"/>
          <w:numId w:val="2"/>
        </w:numPr>
        <w:tabs>
          <w:tab w:val="left" w:pos="1480"/>
        </w:tabs>
        <w:kinsoku w:val="0"/>
        <w:overflowPunct w:val="0"/>
        <w:spacing w:before="140" w:beforeLines="0" w:afterLines="0" w:line="360" w:lineRule="auto"/>
        <w:ind w:right="226" w:firstLine="559"/>
        <w:rPr>
          <w:rFonts w:hint="default"/>
          <w:spacing w:val="-2"/>
          <w:sz w:val="24"/>
          <w:szCs w:val="24"/>
        </w:rPr>
      </w:pPr>
      <w:r>
        <w:rPr>
          <w:rFonts w:hint="default"/>
          <w:sz w:val="24"/>
          <w:szCs w:val="24"/>
        </w:rPr>
        <w:t>每套集中除尘器配置一套 PLC 配电柜，要求 PLC 系统与本项目 PLC</w:t>
      </w:r>
      <w:r>
        <w:rPr>
          <w:rFonts w:hint="default"/>
          <w:spacing w:val="-4"/>
          <w:sz w:val="24"/>
          <w:szCs w:val="24"/>
        </w:rPr>
        <w:t xml:space="preserve"> 控制系统保持一致，采用 </w:t>
      </w:r>
      <w:r>
        <w:rPr>
          <w:rFonts w:hint="default"/>
          <w:sz w:val="24"/>
          <w:szCs w:val="24"/>
        </w:rPr>
        <w:t>AB-1756</w:t>
      </w:r>
      <w:r>
        <w:rPr>
          <w:rFonts w:hint="default"/>
          <w:spacing w:val="-3"/>
          <w:sz w:val="24"/>
          <w:szCs w:val="24"/>
        </w:rPr>
        <w:t xml:space="preserve"> 系列产品</w:t>
      </w:r>
      <w:r>
        <w:rPr>
          <w:rFonts w:hint="default"/>
          <w:spacing w:val="-2"/>
          <w:sz w:val="24"/>
          <w:szCs w:val="24"/>
        </w:rPr>
        <w:t>，配合总调试单位完成联</w:t>
      </w:r>
      <w:r>
        <w:rPr>
          <w:rFonts w:hint="default"/>
          <w:spacing w:val="-4"/>
          <w:sz w:val="24"/>
          <w:szCs w:val="24"/>
        </w:rPr>
        <w:t>动调试。</w:t>
      </w:r>
    </w:p>
    <w:p w14:paraId="631E9339">
      <w:pPr>
        <w:pStyle w:val="13"/>
        <w:keepNext/>
        <w:keepLines/>
        <w:numPr>
          <w:ilvl w:val="2"/>
          <w:numId w:val="0"/>
        </w:numPr>
        <w:tabs>
          <w:tab w:val="left" w:pos="1899"/>
        </w:tabs>
        <w:kinsoku w:val="0"/>
        <w:overflowPunct w:val="0"/>
        <w:spacing w:before="141" w:beforeLines="0" w:afterLines="0" w:line="360" w:lineRule="auto"/>
        <w:ind w:left="0" w:firstLine="0"/>
        <w:rPr>
          <w:rFonts w:hint="default"/>
          <w:color w:val="000000"/>
          <w:spacing w:val="-3"/>
          <w:sz w:val="24"/>
          <w:szCs w:val="24"/>
        </w:rPr>
      </w:pPr>
      <w:r>
        <w:rPr>
          <w:rFonts w:hint="default" w:cs="Times New Roman"/>
          <w:color w:val="000000"/>
          <w:spacing w:val="-2"/>
          <w:sz w:val="24"/>
          <w:szCs w:val="24"/>
          <w:u w:val="none" w:color="auto"/>
        </w:rPr>
        <w:t>5.1.2</w:t>
      </w:r>
      <w:r>
        <w:rPr>
          <w:rFonts w:hint="default"/>
          <w:spacing w:val="-3"/>
          <w:sz w:val="24"/>
          <w:szCs w:val="24"/>
        </w:rPr>
        <w:t>低压配电设备的要求</w:t>
      </w:r>
    </w:p>
    <w:p w14:paraId="1A54D4EC">
      <w:pPr>
        <w:pStyle w:val="13"/>
        <w:keepNext/>
        <w:keepLines/>
        <w:numPr>
          <w:ilvl w:val="0"/>
          <w:numId w:val="3"/>
        </w:numPr>
        <w:tabs>
          <w:tab w:val="left" w:pos="1480"/>
        </w:tabs>
        <w:kinsoku w:val="0"/>
        <w:overflowPunct w:val="0"/>
        <w:spacing w:before="143" w:beforeLines="0" w:afterLines="0" w:line="360" w:lineRule="auto"/>
        <w:ind w:hanging="703"/>
        <w:rPr>
          <w:rFonts w:hint="default"/>
          <w:spacing w:val="-4"/>
          <w:sz w:val="24"/>
          <w:szCs w:val="24"/>
        </w:rPr>
      </w:pPr>
      <w:r>
        <w:rPr>
          <w:rFonts w:hint="default"/>
          <w:spacing w:val="-4"/>
          <w:sz w:val="24"/>
          <w:szCs w:val="24"/>
        </w:rPr>
        <w:t>结构要求</w:t>
      </w:r>
    </w:p>
    <w:p w14:paraId="3AF304F5">
      <w:pPr>
        <w:pStyle w:val="13"/>
        <w:keepNext/>
        <w:keepLines/>
        <w:numPr>
          <w:ilvl w:val="0"/>
          <w:numId w:val="4"/>
        </w:numPr>
        <w:tabs>
          <w:tab w:val="left" w:pos="1199"/>
        </w:tabs>
        <w:kinsoku w:val="0"/>
        <w:overflowPunct w:val="0"/>
        <w:spacing w:before="140" w:beforeLines="0" w:afterLines="0" w:line="360" w:lineRule="auto"/>
        <w:ind w:right="251" w:firstLine="559"/>
        <w:jc w:val="both"/>
        <w:rPr>
          <w:rFonts w:hint="default"/>
          <w:sz w:val="24"/>
          <w:szCs w:val="24"/>
        </w:rPr>
      </w:pPr>
      <w:r>
        <w:rPr>
          <w:rFonts w:hint="default"/>
          <w:spacing w:val="-12"/>
          <w:sz w:val="24"/>
          <w:szCs w:val="24"/>
        </w:rPr>
        <w:t>低压配电柜及PLC柜的柜体均选用</w:t>
      </w:r>
      <w:r>
        <w:rPr>
          <w:rFonts w:hint="default"/>
          <w:sz w:val="24"/>
          <w:szCs w:val="24"/>
        </w:rPr>
        <w:t>GGD型，柜架为垂直地成安装的自撑式结构，外壳防护等级不低于 IP30。</w:t>
      </w:r>
    </w:p>
    <w:p w14:paraId="2849F1D6">
      <w:pPr>
        <w:pStyle w:val="13"/>
        <w:keepNext/>
        <w:keepLines/>
        <w:numPr>
          <w:ilvl w:val="0"/>
          <w:numId w:val="4"/>
        </w:numPr>
        <w:tabs>
          <w:tab w:val="left" w:pos="1199"/>
        </w:tabs>
        <w:kinsoku w:val="0"/>
        <w:overflowPunct w:val="0"/>
        <w:spacing w:before="4" w:beforeLines="0" w:afterLines="0" w:line="360" w:lineRule="auto"/>
        <w:ind w:right="226" w:firstLine="559"/>
        <w:jc w:val="both"/>
        <w:rPr>
          <w:rFonts w:hint="default"/>
          <w:spacing w:val="-6"/>
          <w:sz w:val="24"/>
          <w:szCs w:val="24"/>
        </w:rPr>
      </w:pPr>
      <w:r>
        <w:rPr>
          <w:rFonts w:hint="default"/>
          <w:w w:val="95"/>
          <w:sz w:val="24"/>
          <w:szCs w:val="24"/>
        </w:rPr>
        <w:t>柜架选用厚度不小于 2mm 的 8MF</w:t>
      </w:r>
      <w:r>
        <w:rPr>
          <w:rFonts w:hint="default"/>
          <w:spacing w:val="34"/>
          <w:w w:val="95"/>
          <w:sz w:val="24"/>
          <w:szCs w:val="24"/>
        </w:rPr>
        <w:t xml:space="preserve"> 或</w:t>
      </w:r>
      <w:r>
        <w:rPr>
          <w:rFonts w:hint="default"/>
          <w:w w:val="95"/>
          <w:sz w:val="24"/>
          <w:szCs w:val="24"/>
        </w:rPr>
        <w:t>C 型冷弯型钢局部焊接组装而成，</w:t>
      </w:r>
      <w:r>
        <w:rPr>
          <w:rFonts w:hint="default"/>
          <w:spacing w:val="-5"/>
          <w:sz w:val="24"/>
          <w:szCs w:val="24"/>
        </w:rPr>
        <w:t xml:space="preserve">并配有 </w:t>
      </w:r>
      <w:r>
        <w:rPr>
          <w:rFonts w:hint="default"/>
          <w:sz w:val="24"/>
          <w:szCs w:val="24"/>
        </w:rPr>
        <w:t>E=20mm、100mm</w:t>
      </w:r>
      <w:r>
        <w:rPr>
          <w:rFonts w:hint="default"/>
          <w:spacing w:val="-4"/>
          <w:sz w:val="24"/>
          <w:szCs w:val="24"/>
        </w:rPr>
        <w:t xml:space="preserve"> 的安装孔；柜面选用优质冷板，采用冲压工艺制成，前面板厚度不小于 </w:t>
      </w:r>
      <w:r>
        <w:rPr>
          <w:rFonts w:hint="default"/>
          <w:sz w:val="24"/>
          <w:szCs w:val="24"/>
        </w:rPr>
        <w:t>2mm</w:t>
      </w:r>
      <w:r>
        <w:rPr>
          <w:rFonts w:hint="default"/>
          <w:spacing w:val="-3"/>
          <w:sz w:val="24"/>
          <w:szCs w:val="24"/>
        </w:rPr>
        <w:t xml:space="preserve">，后面板及侧封板厚度不小于 </w:t>
      </w:r>
      <w:r>
        <w:rPr>
          <w:rFonts w:hint="default"/>
          <w:sz w:val="24"/>
          <w:szCs w:val="24"/>
        </w:rPr>
        <w:t>1.5mm</w:t>
      </w:r>
      <w:r>
        <w:rPr>
          <w:rFonts w:hint="default"/>
          <w:spacing w:val="3"/>
          <w:sz w:val="24"/>
          <w:szCs w:val="24"/>
        </w:rPr>
        <w:t xml:space="preserve"> ，其表面经酸洗</w:t>
      </w:r>
      <w:r>
        <w:rPr>
          <w:rFonts w:hint="default"/>
          <w:spacing w:val="-1"/>
          <w:sz w:val="24"/>
          <w:szCs w:val="24"/>
        </w:rPr>
        <w:t xml:space="preserve">磷化处理后采用静电喷塑的喷涂工艺，颜色为 </w:t>
      </w:r>
      <w:r>
        <w:rPr>
          <w:rFonts w:hint="default"/>
          <w:sz w:val="24"/>
          <w:szCs w:val="24"/>
        </w:rPr>
        <w:t>RAL7035</w:t>
      </w:r>
      <w:r>
        <w:rPr>
          <w:rFonts w:hint="default"/>
          <w:spacing w:val="-4"/>
          <w:sz w:val="24"/>
          <w:szCs w:val="24"/>
        </w:rPr>
        <w:t xml:space="preserve"> ；柜内安装梁镀锌处</w:t>
      </w:r>
      <w:r>
        <w:rPr>
          <w:rFonts w:hint="default"/>
          <w:spacing w:val="-6"/>
          <w:sz w:val="24"/>
          <w:szCs w:val="24"/>
        </w:rPr>
        <w:t>理。</w:t>
      </w:r>
    </w:p>
    <w:p w14:paraId="3C4BD303">
      <w:pPr>
        <w:pStyle w:val="13"/>
        <w:keepNext/>
        <w:keepLines/>
        <w:numPr>
          <w:ilvl w:val="0"/>
          <w:numId w:val="4"/>
        </w:numPr>
        <w:tabs>
          <w:tab w:val="left" w:pos="1199"/>
        </w:tabs>
        <w:kinsoku w:val="0"/>
        <w:overflowPunct w:val="0"/>
        <w:spacing w:before="5" w:beforeLines="0" w:afterLines="0" w:line="360" w:lineRule="auto"/>
        <w:ind w:right="250" w:firstLine="559"/>
        <w:rPr>
          <w:rFonts w:hint="default"/>
          <w:spacing w:val="-2"/>
          <w:sz w:val="24"/>
          <w:szCs w:val="24"/>
        </w:rPr>
      </w:pPr>
      <w:r>
        <w:rPr>
          <w:rFonts w:hint="default"/>
          <w:spacing w:val="-2"/>
          <w:sz w:val="24"/>
          <w:szCs w:val="24"/>
        </w:rPr>
        <w:t>开关柜外形应平整美观，表面无划痕，柜架、侧板、顶盖、后壁和门板之间的相互结合处要紧固整齐，开孔和边缘处无毛刺。</w:t>
      </w:r>
    </w:p>
    <w:p w14:paraId="4A52A6BE">
      <w:pPr>
        <w:pStyle w:val="13"/>
        <w:keepNext/>
        <w:keepLines/>
        <w:numPr>
          <w:ilvl w:val="0"/>
          <w:numId w:val="4"/>
        </w:numPr>
        <w:tabs>
          <w:tab w:val="left" w:pos="1199"/>
        </w:tabs>
        <w:kinsoku w:val="0"/>
        <w:overflowPunct w:val="0"/>
        <w:spacing w:beforeLines="0" w:afterLines="0" w:line="360" w:lineRule="auto"/>
        <w:ind w:left="1198"/>
        <w:rPr>
          <w:rFonts w:hint="default"/>
          <w:spacing w:val="-7"/>
          <w:sz w:val="24"/>
          <w:szCs w:val="24"/>
        </w:rPr>
      </w:pPr>
      <w:r>
        <w:rPr>
          <w:rFonts w:hint="default"/>
          <w:spacing w:val="-6"/>
          <w:sz w:val="24"/>
          <w:szCs w:val="24"/>
        </w:rPr>
        <w:t xml:space="preserve">柜体前后斗都采用双开门，门的开启角度在组列安装时需大于 </w:t>
      </w:r>
      <w:r>
        <w:rPr>
          <w:rFonts w:hint="default"/>
          <w:spacing w:val="-4"/>
          <w:sz w:val="24"/>
          <w:szCs w:val="24"/>
        </w:rPr>
        <w:t>135</w:t>
      </w:r>
      <w:r>
        <w:rPr>
          <w:rFonts w:hint="default"/>
          <w:spacing w:val="-7"/>
          <w:sz w:val="24"/>
          <w:szCs w:val="24"/>
        </w:rPr>
        <w:t>°。</w:t>
      </w:r>
    </w:p>
    <w:p w14:paraId="7BF16F06">
      <w:pPr>
        <w:pStyle w:val="13"/>
        <w:keepNext/>
        <w:keepLines/>
        <w:numPr>
          <w:ilvl w:val="0"/>
          <w:numId w:val="4"/>
        </w:numPr>
        <w:tabs>
          <w:tab w:val="left" w:pos="1199"/>
        </w:tabs>
        <w:kinsoku w:val="0"/>
        <w:overflowPunct w:val="0"/>
        <w:spacing w:before="140" w:beforeLines="0" w:afterLines="0" w:line="360" w:lineRule="auto"/>
        <w:ind w:right="252" w:firstLine="559"/>
        <w:rPr>
          <w:rFonts w:hint="default"/>
          <w:spacing w:val="-2"/>
          <w:sz w:val="24"/>
          <w:szCs w:val="24"/>
        </w:rPr>
      </w:pPr>
      <w:r>
        <w:rPr>
          <w:rFonts w:hint="default"/>
          <w:spacing w:val="-2"/>
          <w:sz w:val="24"/>
          <w:szCs w:val="24"/>
        </w:rPr>
        <w:t>柜架和外壳有足够的强度和刚度，能承受所安装元件及短路时所产生的动、热稳定，同时不因成套设备的吊装、运输等情况而影响设备的性能。</w:t>
      </w:r>
    </w:p>
    <w:p w14:paraId="7C5EFA98">
      <w:pPr>
        <w:pStyle w:val="13"/>
        <w:keepNext/>
        <w:keepLines/>
        <w:numPr>
          <w:ilvl w:val="0"/>
          <w:numId w:val="4"/>
        </w:numPr>
        <w:tabs>
          <w:tab w:val="left" w:pos="1199"/>
        </w:tabs>
        <w:kinsoku w:val="0"/>
        <w:overflowPunct w:val="0"/>
        <w:spacing w:beforeLines="0" w:afterLines="0" w:line="360" w:lineRule="auto"/>
        <w:ind w:right="250" w:firstLine="559"/>
        <w:jc w:val="both"/>
        <w:rPr>
          <w:rFonts w:hint="default"/>
          <w:spacing w:val="-2"/>
          <w:sz w:val="24"/>
          <w:szCs w:val="24"/>
        </w:rPr>
      </w:pPr>
      <w:r>
        <w:rPr>
          <w:rFonts w:hint="default"/>
          <w:spacing w:val="-2"/>
          <w:sz w:val="24"/>
          <w:szCs w:val="24"/>
        </w:rPr>
        <w:t>柜体设计满足自然通风要求，散热性能良好；通风孔设计和安装应使得当熔断器、断路器在正常工作或短路情况时没有电弧或可溶金属喷出，通风孔设置不应降低设备的外壳防护等级。</w:t>
      </w:r>
    </w:p>
    <w:p w14:paraId="6784818B">
      <w:pPr>
        <w:pStyle w:val="13"/>
        <w:keepNext/>
        <w:keepLines/>
        <w:numPr>
          <w:ilvl w:val="0"/>
          <w:numId w:val="4"/>
        </w:numPr>
        <w:tabs>
          <w:tab w:val="left" w:pos="1199"/>
        </w:tabs>
        <w:kinsoku w:val="0"/>
        <w:overflowPunct w:val="0"/>
        <w:spacing w:beforeLines="0" w:afterLines="0" w:line="360" w:lineRule="auto"/>
        <w:ind w:right="252" w:firstLine="559"/>
        <w:rPr>
          <w:rFonts w:hint="default"/>
          <w:spacing w:val="-4"/>
          <w:sz w:val="24"/>
          <w:szCs w:val="24"/>
        </w:rPr>
      </w:pPr>
      <w:r>
        <w:rPr>
          <w:rFonts w:hint="default"/>
          <w:spacing w:val="-2"/>
          <w:sz w:val="24"/>
          <w:szCs w:val="24"/>
        </w:rPr>
        <w:t>柜体顶盖可拆卸，方便现场安装和调整主母线，柜顶四角安装可拆卸</w:t>
      </w:r>
      <w:r>
        <w:rPr>
          <w:rFonts w:hint="default"/>
          <w:spacing w:val="-4"/>
          <w:sz w:val="24"/>
          <w:szCs w:val="24"/>
        </w:rPr>
        <w:t>起吊环。</w:t>
      </w:r>
    </w:p>
    <w:p w14:paraId="35E1D759">
      <w:pPr>
        <w:pStyle w:val="13"/>
        <w:keepNext/>
        <w:keepLines/>
        <w:numPr>
          <w:ilvl w:val="0"/>
          <w:numId w:val="4"/>
        </w:numPr>
        <w:tabs>
          <w:tab w:val="left" w:pos="1205"/>
        </w:tabs>
        <w:kinsoku w:val="0"/>
        <w:overflowPunct w:val="0"/>
        <w:spacing w:before="4" w:beforeLines="0" w:afterLines="0" w:line="360" w:lineRule="auto"/>
        <w:ind w:right="252" w:firstLine="559"/>
        <w:rPr>
          <w:rFonts w:hint="default"/>
          <w:spacing w:val="-2"/>
          <w:sz w:val="24"/>
          <w:szCs w:val="24"/>
        </w:rPr>
      </w:pPr>
      <w:r>
        <w:rPr>
          <w:rFonts w:hint="default"/>
          <w:sz w:val="24"/>
          <w:szCs w:val="24"/>
        </w:rPr>
        <w:t>装有电器元件的仪表门用多股软铜线与构架相连；柜内安装件 与构</w:t>
      </w:r>
      <w:r>
        <w:rPr>
          <w:rFonts w:hint="default"/>
          <w:spacing w:val="-2"/>
          <w:sz w:val="24"/>
          <w:szCs w:val="24"/>
        </w:rPr>
        <w:t>架间用接地滚花螺钉连接，构成完整的接地保护电路。</w:t>
      </w:r>
    </w:p>
    <w:p w14:paraId="6018CD9D">
      <w:pPr>
        <w:pStyle w:val="13"/>
        <w:keepNext/>
        <w:keepLines/>
        <w:numPr>
          <w:ilvl w:val="0"/>
          <w:numId w:val="4"/>
        </w:numPr>
        <w:tabs>
          <w:tab w:val="left" w:pos="1199"/>
        </w:tabs>
        <w:kinsoku w:val="0"/>
        <w:overflowPunct w:val="0"/>
        <w:spacing w:before="1" w:beforeLines="0" w:afterLines="0" w:line="360" w:lineRule="auto"/>
        <w:ind w:right="250" w:firstLine="559"/>
        <w:jc w:val="both"/>
        <w:rPr>
          <w:rFonts w:hint="default"/>
          <w:spacing w:val="-2"/>
          <w:sz w:val="24"/>
          <w:szCs w:val="24"/>
        </w:rPr>
      </w:pPr>
      <w:r>
        <w:rPr>
          <w:rFonts w:hint="default"/>
          <w:spacing w:val="-2"/>
          <w:sz w:val="24"/>
          <w:szCs w:val="24"/>
        </w:rPr>
        <w:t>设备的布置应方便操作，在任何情况下不应妨碍良好的运行性能，柜内空间应满足电缆接线、检修要求。开关柜端部结构、母线排和电线电缆敷线槽的布置，应考虑便于扩建。</w:t>
      </w:r>
    </w:p>
    <w:p w14:paraId="3F69446C">
      <w:pPr>
        <w:pStyle w:val="13"/>
        <w:keepNext/>
        <w:keepLines/>
        <w:numPr>
          <w:ilvl w:val="0"/>
          <w:numId w:val="4"/>
        </w:numPr>
        <w:tabs>
          <w:tab w:val="left" w:pos="1341"/>
        </w:tabs>
        <w:kinsoku w:val="0"/>
        <w:overflowPunct w:val="0"/>
        <w:spacing w:before="143" w:beforeLines="0" w:afterLines="0" w:line="360" w:lineRule="auto"/>
        <w:ind w:right="250" w:firstLine="559"/>
        <w:jc w:val="both"/>
        <w:rPr>
          <w:rFonts w:hint="default"/>
          <w:spacing w:val="-2"/>
          <w:sz w:val="24"/>
          <w:szCs w:val="24"/>
        </w:rPr>
      </w:pPr>
      <w:r>
        <w:rPr>
          <w:rFonts w:hint="default"/>
          <w:w w:val="95"/>
          <w:sz w:val="24"/>
          <w:szCs w:val="24"/>
        </w:rPr>
        <w:t>柜</w:t>
      </w:r>
      <w:r>
        <w:rPr>
          <w:rFonts w:hint="default"/>
          <w:spacing w:val="17"/>
          <w:w w:val="95"/>
          <w:sz w:val="24"/>
          <w:szCs w:val="24"/>
        </w:rPr>
        <w:t>体内设置</w:t>
      </w:r>
      <w:r>
        <w:rPr>
          <w:rFonts w:hint="default"/>
          <w:w w:val="95"/>
          <w:sz w:val="24"/>
          <w:szCs w:val="24"/>
        </w:rPr>
        <w:t>PE</w:t>
      </w:r>
      <w:r>
        <w:rPr>
          <w:rFonts w:hint="default"/>
          <w:spacing w:val="33"/>
          <w:w w:val="95"/>
          <w:sz w:val="24"/>
          <w:szCs w:val="24"/>
        </w:rPr>
        <w:t xml:space="preserve"> 及</w:t>
      </w:r>
      <w:r>
        <w:rPr>
          <w:rFonts w:hint="default"/>
          <w:w w:val="95"/>
          <w:sz w:val="24"/>
          <w:szCs w:val="24"/>
        </w:rPr>
        <w:t>N 线端子，柜门与柜体之间采</w:t>
      </w:r>
      <w:r>
        <w:rPr>
          <w:rFonts w:hint="default"/>
          <w:spacing w:val="-2"/>
          <w:sz w:val="24"/>
          <w:szCs w:val="24"/>
        </w:rPr>
        <w:t>用黄绿双色软线连接。</w:t>
      </w:r>
    </w:p>
    <w:p w14:paraId="4C469527">
      <w:pPr>
        <w:pStyle w:val="13"/>
        <w:keepNext/>
        <w:keepLines/>
        <w:numPr>
          <w:ilvl w:val="0"/>
          <w:numId w:val="4"/>
        </w:numPr>
        <w:tabs>
          <w:tab w:val="left" w:pos="1205"/>
        </w:tabs>
        <w:kinsoku w:val="0"/>
        <w:overflowPunct w:val="0"/>
        <w:spacing w:before="4" w:beforeLines="0" w:afterLines="0" w:line="360" w:lineRule="auto"/>
        <w:ind w:right="252" w:firstLine="559"/>
        <w:rPr>
          <w:rFonts w:hint="default"/>
          <w:sz w:val="24"/>
          <w:szCs w:val="24"/>
        </w:rPr>
      </w:pPr>
      <w:r>
        <w:rPr>
          <w:rFonts w:hint="default"/>
          <w:sz w:val="24"/>
          <w:szCs w:val="24"/>
        </w:rPr>
        <w:t>低压配电柜应有坚固、耐久、清晰的铭牌，采用银光拉丝专用 标签打印粘贴，字体为黑色中宋加粗。规格为长：宽=1.6：1（尺寸为 mm×mm），厚度为 1.0mm。每个回路用电负荷名称、编号应在双色板标牌上标出，标牌的最小尺寸为 30mm×100mm，厚度为 1.5mm，标牌内容应与单线图和图纸一致；柜眉中央为配电柜编号和名称(柜前、柜后两 面均要有配电柜编号和名称)，顺序与设计图纸保持一致。粘贴“当心 触电”警示标志。</w:t>
      </w:r>
    </w:p>
    <w:p w14:paraId="46792622">
      <w:pPr>
        <w:pStyle w:val="13"/>
        <w:keepNext/>
        <w:keepLines/>
        <w:numPr>
          <w:ilvl w:val="0"/>
          <w:numId w:val="3"/>
        </w:numPr>
        <w:tabs>
          <w:tab w:val="left" w:pos="1480"/>
        </w:tabs>
        <w:kinsoku w:val="0"/>
        <w:overflowPunct w:val="0"/>
        <w:spacing w:before="8" w:beforeLines="0" w:afterLines="0" w:line="360" w:lineRule="auto"/>
        <w:ind w:hanging="703"/>
        <w:rPr>
          <w:rFonts w:hint="default"/>
          <w:spacing w:val="-4"/>
          <w:sz w:val="24"/>
          <w:szCs w:val="24"/>
        </w:rPr>
      </w:pPr>
      <w:r>
        <w:rPr>
          <w:rFonts w:hint="default"/>
          <w:spacing w:val="-4"/>
          <w:sz w:val="24"/>
          <w:szCs w:val="24"/>
        </w:rPr>
        <w:t>柜体布置要求</w:t>
      </w:r>
    </w:p>
    <w:p w14:paraId="23B51332">
      <w:pPr>
        <w:pStyle w:val="13"/>
        <w:keepNext/>
        <w:keepLines/>
        <w:numPr>
          <w:ilvl w:val="0"/>
          <w:numId w:val="5"/>
        </w:numPr>
        <w:tabs>
          <w:tab w:val="left" w:pos="1199"/>
        </w:tabs>
        <w:kinsoku w:val="0"/>
        <w:overflowPunct w:val="0"/>
        <w:spacing w:before="140" w:beforeLines="0" w:afterLines="0" w:line="360" w:lineRule="auto"/>
        <w:ind w:right="250" w:firstLine="559"/>
        <w:rPr>
          <w:rFonts w:hint="default"/>
          <w:spacing w:val="-2"/>
          <w:sz w:val="24"/>
          <w:szCs w:val="24"/>
        </w:rPr>
      </w:pPr>
      <w:r>
        <w:rPr>
          <w:rFonts w:hint="default"/>
          <w:spacing w:val="-2"/>
          <w:sz w:val="24"/>
          <w:szCs w:val="24"/>
        </w:rPr>
        <w:t>配电设备的布置应遵循安全、可靠、适用和经济等原则，并应便于安装、操作和检修。</w:t>
      </w:r>
    </w:p>
    <w:p w14:paraId="187B4509">
      <w:pPr>
        <w:pStyle w:val="13"/>
        <w:keepNext/>
        <w:keepLines/>
        <w:numPr>
          <w:ilvl w:val="0"/>
          <w:numId w:val="5"/>
        </w:numPr>
        <w:tabs>
          <w:tab w:val="left" w:pos="1199"/>
        </w:tabs>
        <w:kinsoku w:val="0"/>
        <w:overflowPunct w:val="0"/>
        <w:spacing w:before="4" w:beforeLines="0" w:afterLines="0" w:line="360" w:lineRule="auto"/>
        <w:ind w:right="250" w:firstLine="559"/>
        <w:jc w:val="both"/>
        <w:rPr>
          <w:rFonts w:hint="default"/>
          <w:spacing w:val="-4"/>
          <w:sz w:val="24"/>
          <w:szCs w:val="24"/>
        </w:rPr>
      </w:pPr>
      <w:r>
        <w:rPr>
          <w:rFonts w:hint="default"/>
          <w:spacing w:val="-2"/>
          <w:sz w:val="24"/>
          <w:szCs w:val="24"/>
        </w:rPr>
        <w:t>同一配电室内的开关柜和电机控制柜由具有公用母线系统的若干个标准柜组装而成，整个柜组安装在配电室混凝土电缆沟的钢制底座上，柜体与</w:t>
      </w:r>
      <w:r>
        <w:rPr>
          <w:rFonts w:hint="default"/>
          <w:sz w:val="24"/>
          <w:szCs w:val="24"/>
        </w:rPr>
        <w:t>柜体之间用金属隔板隔分。 3）控制柜应与开关柜具有相同的高度和深度，</w:t>
      </w:r>
      <w:r>
        <w:rPr>
          <w:rFonts w:hint="default"/>
          <w:spacing w:val="-2"/>
          <w:sz w:val="24"/>
          <w:szCs w:val="24"/>
        </w:rPr>
        <w:t>以便于并排组柜安装。</w:t>
      </w:r>
    </w:p>
    <w:p w14:paraId="2DFC8649">
      <w:pPr>
        <w:pStyle w:val="13"/>
        <w:keepNext/>
        <w:keepLines/>
        <w:numPr>
          <w:ilvl w:val="0"/>
          <w:numId w:val="3"/>
        </w:numPr>
        <w:tabs>
          <w:tab w:val="left" w:pos="1480"/>
        </w:tabs>
        <w:kinsoku w:val="0"/>
        <w:overflowPunct w:val="0"/>
        <w:spacing w:before="4" w:beforeLines="0" w:afterLines="0" w:line="360" w:lineRule="auto"/>
        <w:ind w:hanging="703"/>
        <w:rPr>
          <w:rFonts w:hint="default"/>
          <w:spacing w:val="-4"/>
          <w:sz w:val="24"/>
          <w:szCs w:val="24"/>
        </w:rPr>
      </w:pPr>
      <w:r>
        <w:rPr>
          <w:rFonts w:hint="default"/>
          <w:spacing w:val="-4"/>
          <w:sz w:val="24"/>
          <w:szCs w:val="24"/>
        </w:rPr>
        <w:t>母线系统</w:t>
      </w:r>
    </w:p>
    <w:p w14:paraId="7EFEDFE4">
      <w:pPr>
        <w:pStyle w:val="5"/>
        <w:keepNext/>
        <w:keepLines/>
        <w:kinsoku w:val="0"/>
        <w:overflowPunct w:val="0"/>
        <w:spacing w:before="141" w:beforeLines="0" w:afterLines="0" w:line="360" w:lineRule="auto"/>
        <w:ind w:right="252" w:firstLine="698"/>
        <w:rPr>
          <w:rFonts w:hint="default"/>
          <w:spacing w:val="-4"/>
          <w:sz w:val="24"/>
          <w:szCs w:val="24"/>
        </w:rPr>
      </w:pPr>
      <w:r>
        <w:rPr>
          <w:rFonts w:hint="default"/>
          <w:spacing w:val="-2"/>
          <w:sz w:val="24"/>
          <w:szCs w:val="24"/>
        </w:rPr>
        <w:t>1）主母线、分支母线由螺栓连接的高导电率的铜排制成,符合规定的载</w:t>
      </w:r>
      <w:r>
        <w:rPr>
          <w:rFonts w:hint="default"/>
          <w:spacing w:val="-4"/>
          <w:sz w:val="24"/>
          <w:szCs w:val="24"/>
        </w:rPr>
        <w:t>流量。</w:t>
      </w:r>
    </w:p>
    <w:p w14:paraId="23F55D8F">
      <w:pPr>
        <w:pStyle w:val="13"/>
        <w:keepNext/>
        <w:keepLines/>
        <w:numPr>
          <w:ilvl w:val="0"/>
          <w:numId w:val="6"/>
        </w:numPr>
        <w:tabs>
          <w:tab w:val="left" w:pos="1199"/>
        </w:tabs>
        <w:kinsoku w:val="0"/>
        <w:overflowPunct w:val="0"/>
        <w:spacing w:beforeLines="0" w:afterLines="0" w:line="360" w:lineRule="auto"/>
        <w:ind w:right="250" w:firstLine="559"/>
        <w:jc w:val="both"/>
        <w:rPr>
          <w:rFonts w:hint="default"/>
          <w:spacing w:val="-2"/>
          <w:sz w:val="24"/>
          <w:szCs w:val="24"/>
        </w:rPr>
      </w:pPr>
      <w:r>
        <w:rPr>
          <w:rFonts w:hint="default"/>
          <w:spacing w:val="-2"/>
          <w:sz w:val="24"/>
          <w:szCs w:val="24"/>
        </w:rPr>
        <w:t>所有螺栓连接的主母线连接头和分支母线接头为镀锌，在不限制使用寿命的期间内，从标准的额定环境温度到额定满载温度范围内螺 孔周围的初始接触压力大体保持不变,每个连接头不小于两个螺栓。</w:t>
      </w:r>
    </w:p>
    <w:p w14:paraId="5973057E">
      <w:pPr>
        <w:pStyle w:val="13"/>
        <w:keepNext/>
        <w:keepLines/>
        <w:numPr>
          <w:ilvl w:val="0"/>
          <w:numId w:val="6"/>
        </w:numPr>
        <w:tabs>
          <w:tab w:val="left" w:pos="1205"/>
        </w:tabs>
        <w:kinsoku w:val="0"/>
        <w:overflowPunct w:val="0"/>
        <w:spacing w:beforeLines="0" w:afterLines="0" w:line="360" w:lineRule="auto"/>
        <w:ind w:right="112" w:firstLine="559"/>
        <w:jc w:val="both"/>
        <w:rPr>
          <w:rFonts w:hint="default"/>
          <w:spacing w:val="-2"/>
          <w:sz w:val="24"/>
          <w:szCs w:val="24"/>
        </w:rPr>
      </w:pPr>
      <w:r>
        <w:rPr>
          <w:rFonts w:hint="default"/>
          <w:sz w:val="24"/>
          <w:szCs w:val="24"/>
        </w:rPr>
        <w:t>主母线支持件和母线绝缘物为不吸潮、阻燃、长寿命的并能耐 受规</w:t>
      </w:r>
      <w:r>
        <w:rPr>
          <w:rFonts w:hint="default"/>
          <w:spacing w:val="-2"/>
          <w:sz w:val="24"/>
          <w:szCs w:val="24"/>
        </w:rPr>
        <w:t>定的环境条件产品，在设备的使用寿命内,其机械强度和电气性能 保持不变。</w:t>
      </w:r>
    </w:p>
    <w:p w14:paraId="62407AE7">
      <w:pPr>
        <w:pStyle w:val="13"/>
        <w:keepNext/>
        <w:keepLines/>
        <w:numPr>
          <w:ilvl w:val="0"/>
          <w:numId w:val="6"/>
        </w:numPr>
        <w:tabs>
          <w:tab w:val="left" w:pos="1199"/>
        </w:tabs>
        <w:kinsoku w:val="0"/>
        <w:overflowPunct w:val="0"/>
        <w:spacing w:before="3" w:beforeLines="0" w:afterLines="0" w:line="360" w:lineRule="auto"/>
        <w:ind w:right="252" w:firstLine="559"/>
        <w:rPr>
          <w:rFonts w:hint="default"/>
          <w:spacing w:val="-2"/>
          <w:sz w:val="24"/>
          <w:szCs w:val="24"/>
        </w:rPr>
      </w:pPr>
      <w:r>
        <w:rPr>
          <w:rFonts w:hint="default"/>
          <w:spacing w:val="-2"/>
          <w:sz w:val="24"/>
          <w:szCs w:val="24"/>
        </w:rPr>
        <w:t>所有导体的支持件，能耐受相当于它所接的断路器的最大额定开断电流所引起的应力。</w:t>
      </w:r>
    </w:p>
    <w:p w14:paraId="12D267AB">
      <w:pPr>
        <w:pStyle w:val="13"/>
        <w:keepNext/>
        <w:keepLines/>
        <w:numPr>
          <w:ilvl w:val="0"/>
          <w:numId w:val="6"/>
        </w:numPr>
        <w:tabs>
          <w:tab w:val="left" w:pos="1199"/>
        </w:tabs>
        <w:kinsoku w:val="0"/>
        <w:overflowPunct w:val="0"/>
        <w:spacing w:before="2" w:beforeLines="0" w:afterLines="0" w:line="360" w:lineRule="auto"/>
        <w:ind w:left="1198"/>
        <w:rPr>
          <w:rFonts w:hint="default"/>
          <w:spacing w:val="-3"/>
          <w:sz w:val="24"/>
          <w:szCs w:val="24"/>
        </w:rPr>
      </w:pPr>
      <w:r>
        <w:rPr>
          <w:rFonts w:hint="default"/>
          <w:spacing w:val="-3"/>
          <w:sz w:val="24"/>
          <w:szCs w:val="24"/>
        </w:rPr>
        <w:t>柜体内铜母线均采用镀锡处理，并在搭接部位压花，以保证接触面。</w:t>
      </w:r>
    </w:p>
    <w:p w14:paraId="47CA47B1">
      <w:pPr>
        <w:pStyle w:val="13"/>
        <w:keepNext/>
        <w:keepLines/>
        <w:numPr>
          <w:ilvl w:val="0"/>
          <w:numId w:val="6"/>
        </w:numPr>
        <w:tabs>
          <w:tab w:val="left" w:pos="1205"/>
        </w:tabs>
        <w:kinsoku w:val="0"/>
        <w:overflowPunct w:val="0"/>
        <w:spacing w:before="142" w:beforeLines="0" w:afterLines="0" w:line="360" w:lineRule="auto"/>
        <w:ind w:right="250" w:firstLine="559"/>
        <w:jc w:val="both"/>
        <w:rPr>
          <w:rFonts w:hint="default"/>
          <w:spacing w:val="-2"/>
          <w:sz w:val="24"/>
          <w:szCs w:val="24"/>
        </w:rPr>
      </w:pPr>
      <w:r>
        <w:rPr>
          <w:rFonts w:hint="default"/>
          <w:sz w:val="24"/>
          <w:szCs w:val="24"/>
        </w:rPr>
        <w:t>主母线、分支母线和母线连接部位宜带绝缘护套、加装绝缘盒 ，中</w:t>
      </w:r>
      <w:r>
        <w:rPr>
          <w:rFonts w:hint="default"/>
          <w:spacing w:val="-2"/>
          <w:sz w:val="24"/>
          <w:szCs w:val="24"/>
        </w:rPr>
        <w:t xml:space="preserve">性母线应采用与相线相同的绝缘等级，绝缘物的额定电压为 </w:t>
      </w:r>
      <w:r>
        <w:rPr>
          <w:rFonts w:hint="default"/>
          <w:sz w:val="24"/>
          <w:szCs w:val="24"/>
        </w:rPr>
        <w:t>1000V</w:t>
      </w:r>
      <w:r>
        <w:rPr>
          <w:rFonts w:hint="default"/>
          <w:spacing w:val="-5"/>
          <w:sz w:val="24"/>
          <w:szCs w:val="24"/>
        </w:rPr>
        <w:t xml:space="preserve"> 。母线有</w:t>
      </w:r>
      <w:r>
        <w:rPr>
          <w:rFonts w:hint="default"/>
          <w:spacing w:val="-2"/>
          <w:sz w:val="24"/>
          <w:szCs w:val="24"/>
        </w:rPr>
        <w:t>标明相别的颜色，母线相序排列、颜色符合国家标准。</w:t>
      </w:r>
    </w:p>
    <w:p w14:paraId="2B65D051">
      <w:pPr>
        <w:pStyle w:val="13"/>
        <w:keepNext/>
        <w:keepLines/>
        <w:numPr>
          <w:ilvl w:val="0"/>
          <w:numId w:val="6"/>
        </w:numPr>
        <w:tabs>
          <w:tab w:val="left" w:pos="1205"/>
        </w:tabs>
        <w:kinsoku w:val="0"/>
        <w:overflowPunct w:val="0"/>
        <w:spacing w:before="4" w:beforeLines="0" w:afterLines="0" w:line="360" w:lineRule="auto"/>
        <w:ind w:right="112" w:firstLine="559"/>
        <w:jc w:val="both"/>
        <w:rPr>
          <w:rFonts w:hint="default"/>
          <w:spacing w:val="-12"/>
          <w:sz w:val="24"/>
          <w:szCs w:val="24"/>
        </w:rPr>
      </w:pPr>
      <w:r>
        <w:rPr>
          <w:rFonts w:hint="default"/>
          <w:sz w:val="24"/>
          <w:szCs w:val="24"/>
        </w:rPr>
        <w:t>接地母线应由螺栓连接的高导电率的铜排制成，截面应按 GB7251.2选择，并应包括下列特性： ①铜接地母线应延伸至整段结构，并应用螺栓接</w:t>
      </w:r>
      <w:r>
        <w:rPr>
          <w:rFonts w:hint="default"/>
          <w:spacing w:val="2"/>
          <w:sz w:val="24"/>
          <w:szCs w:val="24"/>
        </w:rPr>
        <w:t>在每一面开关柜的框架上。②在每个接地母线的端头应提供</w:t>
      </w:r>
      <w:r>
        <w:rPr>
          <w:rFonts w:hint="default"/>
          <w:sz w:val="24"/>
          <w:szCs w:val="24"/>
        </w:rPr>
        <w:t>L</w:t>
      </w:r>
      <w:r>
        <w:rPr>
          <w:rFonts w:hint="default"/>
          <w:spacing w:val="-12"/>
          <w:sz w:val="24"/>
          <w:szCs w:val="24"/>
        </w:rPr>
        <w:t>型压接型端子，</w:t>
      </w:r>
    </w:p>
    <w:p w14:paraId="69F99039">
      <w:pPr>
        <w:pStyle w:val="5"/>
        <w:keepNext/>
        <w:keepLines/>
        <w:kinsoku w:val="0"/>
        <w:overflowPunct w:val="0"/>
        <w:spacing w:before="130" w:beforeLines="0" w:afterLines="0" w:line="360" w:lineRule="auto"/>
        <w:ind w:firstLine="0"/>
        <w:rPr>
          <w:rFonts w:hint="default"/>
          <w:spacing w:val="-12"/>
          <w:sz w:val="24"/>
          <w:szCs w:val="24"/>
        </w:rPr>
      </w:pPr>
      <w:r>
        <w:rPr>
          <w:rFonts w:hint="default"/>
          <w:spacing w:val="-3"/>
          <w:sz w:val="24"/>
          <w:szCs w:val="24"/>
        </w:rPr>
        <w:t>供甲方连接接地线用。</w:t>
      </w:r>
    </w:p>
    <w:p w14:paraId="440A5266">
      <w:pPr>
        <w:pStyle w:val="13"/>
        <w:keepNext/>
        <w:keepLines/>
        <w:numPr>
          <w:ilvl w:val="0"/>
          <w:numId w:val="3"/>
        </w:numPr>
        <w:tabs>
          <w:tab w:val="left" w:pos="1480"/>
        </w:tabs>
        <w:kinsoku w:val="0"/>
        <w:overflowPunct w:val="0"/>
        <w:spacing w:before="141" w:beforeLines="0" w:afterLines="0" w:line="360" w:lineRule="auto"/>
        <w:ind w:hanging="703"/>
        <w:rPr>
          <w:rFonts w:hint="default"/>
          <w:spacing w:val="-3"/>
          <w:sz w:val="24"/>
          <w:szCs w:val="24"/>
        </w:rPr>
      </w:pPr>
      <w:r>
        <w:rPr>
          <w:rFonts w:hint="default"/>
          <w:spacing w:val="-3"/>
          <w:sz w:val="24"/>
          <w:szCs w:val="24"/>
        </w:rPr>
        <w:t>柜内元件选型和组装要求</w:t>
      </w:r>
    </w:p>
    <w:p w14:paraId="4CCB9695">
      <w:pPr>
        <w:pStyle w:val="13"/>
        <w:keepNext/>
        <w:keepLines/>
        <w:numPr>
          <w:ilvl w:val="0"/>
          <w:numId w:val="7"/>
        </w:numPr>
        <w:tabs>
          <w:tab w:val="left" w:pos="1199"/>
        </w:tabs>
        <w:kinsoku w:val="0"/>
        <w:overflowPunct w:val="0"/>
        <w:spacing w:before="143" w:beforeLines="0" w:afterLines="0" w:line="360" w:lineRule="auto"/>
        <w:ind w:right="112" w:firstLine="559"/>
        <w:rPr>
          <w:rFonts w:hint="default"/>
          <w:spacing w:val="-3"/>
          <w:sz w:val="24"/>
          <w:szCs w:val="24"/>
        </w:rPr>
      </w:pPr>
      <w:r>
        <w:rPr>
          <w:rFonts w:hint="default"/>
          <w:spacing w:val="-5"/>
          <w:sz w:val="24"/>
          <w:szCs w:val="24"/>
        </w:rPr>
        <w:t>所有元件的安装要便于检修和更换；熔断器、断路器等保护电气应按便于操作人员容易操作和维修的形式布置，对产生电弧的电器元件如接触器、</w:t>
      </w:r>
      <w:r>
        <w:rPr>
          <w:rFonts w:hint="default"/>
          <w:spacing w:val="1"/>
          <w:sz w:val="24"/>
          <w:szCs w:val="24"/>
        </w:rPr>
        <w:t>空气开关等，安装时与周围其他电气零部件需要留有一定的飞弧距离和拆卸</w:t>
      </w:r>
      <w:r>
        <w:rPr>
          <w:rFonts w:hint="default"/>
          <w:spacing w:val="-3"/>
          <w:sz w:val="24"/>
          <w:szCs w:val="24"/>
        </w:rPr>
        <w:t>灭弧罩所需要的空间，其飞弧距离见各元件说明书。</w:t>
      </w:r>
    </w:p>
    <w:p w14:paraId="7E881A8D">
      <w:pPr>
        <w:pStyle w:val="13"/>
        <w:keepNext/>
        <w:keepLines/>
        <w:numPr>
          <w:ilvl w:val="0"/>
          <w:numId w:val="7"/>
        </w:numPr>
        <w:tabs>
          <w:tab w:val="left" w:pos="1205"/>
        </w:tabs>
        <w:kinsoku w:val="0"/>
        <w:overflowPunct w:val="0"/>
        <w:spacing w:before="4" w:beforeLines="0" w:afterLines="0" w:line="360" w:lineRule="auto"/>
        <w:ind w:right="250" w:firstLine="559"/>
        <w:jc w:val="both"/>
        <w:rPr>
          <w:rFonts w:hint="default"/>
          <w:sz w:val="24"/>
          <w:szCs w:val="24"/>
        </w:rPr>
      </w:pPr>
      <w:r>
        <w:rPr>
          <w:rFonts w:hint="default"/>
          <w:spacing w:val="-2"/>
          <w:sz w:val="24"/>
          <w:szCs w:val="24"/>
        </w:rPr>
        <w:t>信号灯、按钮、表计等元件安装在低压开关柜的正面,尽可能安装在视线水平上，重要操作元件及所有带操作手柄的电气元件应安装在 操作者手</w:t>
      </w:r>
      <w:r>
        <w:rPr>
          <w:rFonts w:hint="default"/>
          <w:sz w:val="24"/>
          <w:szCs w:val="24"/>
        </w:rPr>
        <w:t>臂能够到达的高度范围之内（距地面 0.6</w:t>
      </w:r>
      <w:r>
        <w:rPr>
          <w:rFonts w:hint="eastAsia" w:ascii="Times New Roman" w:eastAsia="Times New Roman" w:cs="Times New Roman"/>
          <w:sz w:val="24"/>
          <w:szCs w:val="24"/>
        </w:rPr>
        <w:t>~</w:t>
      </w:r>
      <w:r>
        <w:rPr>
          <w:rFonts w:hint="default"/>
          <w:sz w:val="24"/>
          <w:szCs w:val="24"/>
        </w:rPr>
        <w:t>1.8m）。</w:t>
      </w:r>
    </w:p>
    <w:p w14:paraId="714FBFF7">
      <w:pPr>
        <w:pStyle w:val="13"/>
        <w:keepNext/>
        <w:keepLines/>
        <w:numPr>
          <w:ilvl w:val="0"/>
          <w:numId w:val="7"/>
        </w:numPr>
        <w:tabs>
          <w:tab w:val="left" w:pos="1199"/>
        </w:tabs>
        <w:kinsoku w:val="0"/>
        <w:overflowPunct w:val="0"/>
        <w:spacing w:before="4" w:beforeLines="0" w:afterLines="0" w:line="360" w:lineRule="auto"/>
        <w:ind w:right="252" w:firstLine="559"/>
        <w:jc w:val="both"/>
        <w:rPr>
          <w:rFonts w:hint="default"/>
          <w:spacing w:val="-12"/>
          <w:sz w:val="24"/>
          <w:szCs w:val="24"/>
        </w:rPr>
      </w:pPr>
      <w:r>
        <w:rPr>
          <w:rFonts w:hint="default"/>
          <w:w w:val="95"/>
          <w:sz w:val="24"/>
          <w:szCs w:val="24"/>
        </w:rPr>
        <w:t>柜内</w:t>
      </w:r>
      <w:r>
        <w:rPr>
          <w:rFonts w:hint="default"/>
          <w:spacing w:val="-2"/>
          <w:sz w:val="24"/>
          <w:szCs w:val="24"/>
        </w:rPr>
        <w:t>保证元件走线、布局美观。</w:t>
      </w:r>
    </w:p>
    <w:p w14:paraId="33D7EDBB">
      <w:pPr>
        <w:pStyle w:val="13"/>
        <w:keepNext/>
        <w:keepLines/>
        <w:numPr>
          <w:ilvl w:val="0"/>
          <w:numId w:val="7"/>
        </w:numPr>
        <w:tabs>
          <w:tab w:val="left" w:pos="1199"/>
        </w:tabs>
        <w:kinsoku w:val="0"/>
        <w:overflowPunct w:val="0"/>
        <w:spacing w:before="4" w:beforeLines="0" w:afterLines="0" w:line="360" w:lineRule="auto"/>
        <w:ind w:right="252" w:firstLine="559"/>
        <w:rPr>
          <w:rFonts w:hint="default"/>
          <w:spacing w:val="-2"/>
          <w:sz w:val="24"/>
          <w:szCs w:val="24"/>
        </w:rPr>
      </w:pPr>
      <w:r>
        <w:rPr>
          <w:rFonts w:hint="default"/>
          <w:spacing w:val="-2"/>
          <w:sz w:val="24"/>
          <w:szCs w:val="24"/>
        </w:rPr>
        <w:t>安装元件的支架（安装板、梁，安装框架等），应保证元件接触面的平整，不使元件紧固的后发变形，造成损坏或影响其性能。</w:t>
      </w:r>
    </w:p>
    <w:p w14:paraId="70E4C201">
      <w:pPr>
        <w:pStyle w:val="13"/>
        <w:keepNext/>
        <w:keepLines/>
        <w:numPr>
          <w:ilvl w:val="0"/>
          <w:numId w:val="7"/>
        </w:numPr>
        <w:tabs>
          <w:tab w:val="left" w:pos="1092"/>
        </w:tabs>
        <w:kinsoku w:val="0"/>
        <w:overflowPunct w:val="0"/>
        <w:spacing w:before="1" w:beforeLines="0" w:afterLines="0" w:line="360" w:lineRule="auto"/>
        <w:ind w:right="252" w:firstLine="448"/>
        <w:rPr>
          <w:rFonts w:hint="default"/>
          <w:spacing w:val="-12"/>
          <w:sz w:val="24"/>
          <w:szCs w:val="24"/>
        </w:rPr>
      </w:pPr>
      <w:r>
        <w:rPr>
          <w:rFonts w:hint="default"/>
          <w:spacing w:val="-2"/>
          <w:sz w:val="24"/>
          <w:szCs w:val="24"/>
        </w:rPr>
        <w:t>柜内固定元件安装应预留足够一次、二次线路及手动操作手柄活动空</w:t>
      </w:r>
      <w:r>
        <w:rPr>
          <w:rFonts w:hint="default"/>
          <w:spacing w:val="-6"/>
          <w:sz w:val="24"/>
          <w:szCs w:val="24"/>
        </w:rPr>
        <w:t>间。</w:t>
      </w:r>
    </w:p>
    <w:p w14:paraId="6CACCF1A">
      <w:pPr>
        <w:pStyle w:val="13"/>
        <w:keepNext/>
        <w:keepLines/>
        <w:numPr>
          <w:ilvl w:val="0"/>
          <w:numId w:val="7"/>
        </w:numPr>
        <w:tabs>
          <w:tab w:val="left" w:pos="1205"/>
        </w:tabs>
        <w:kinsoku w:val="0"/>
        <w:overflowPunct w:val="0"/>
        <w:spacing w:beforeLines="0" w:afterLines="0" w:line="360" w:lineRule="auto"/>
        <w:ind w:right="250" w:firstLine="559"/>
        <w:jc w:val="both"/>
        <w:rPr>
          <w:rFonts w:hint="default"/>
          <w:spacing w:val="-18"/>
          <w:sz w:val="24"/>
          <w:szCs w:val="24"/>
        </w:rPr>
      </w:pPr>
      <w:r>
        <w:rPr>
          <w:rFonts w:hint="default"/>
          <w:sz w:val="24"/>
          <w:szCs w:val="24"/>
        </w:rPr>
        <w:t>按元器件的安装孔径，联接厚度正确选用螺栓，乱扣、滑扣不 得使</w:t>
      </w:r>
      <w:r>
        <w:rPr>
          <w:rFonts w:hint="default"/>
          <w:spacing w:val="-2"/>
          <w:sz w:val="24"/>
          <w:szCs w:val="24"/>
        </w:rPr>
        <w:t xml:space="preserve">用，螺栓安装时要求垂直方向从里至外穿；水平方向从下至上。在所有螺栓和螺帽下必须加垫片。螺栓和螺钉拧紧后必须伸出螺帽外至少 </w:t>
      </w:r>
      <w:r>
        <w:rPr>
          <w:rFonts w:hint="default"/>
          <w:sz w:val="24"/>
          <w:szCs w:val="24"/>
        </w:rPr>
        <w:t>1</w:t>
      </w:r>
      <w:r>
        <w:rPr>
          <w:rFonts w:hint="default"/>
          <w:spacing w:val="-6"/>
          <w:sz w:val="24"/>
          <w:szCs w:val="24"/>
        </w:rPr>
        <w:t xml:space="preserve"> 个节距但不</w:t>
      </w:r>
      <w:r>
        <w:rPr>
          <w:rFonts w:hint="default"/>
          <w:spacing w:val="-20"/>
          <w:sz w:val="24"/>
          <w:szCs w:val="24"/>
        </w:rPr>
        <w:t xml:space="preserve">得多于 </w:t>
      </w:r>
      <w:r>
        <w:rPr>
          <w:rFonts w:hint="default"/>
          <w:spacing w:val="-2"/>
          <w:sz w:val="24"/>
          <w:szCs w:val="24"/>
        </w:rPr>
        <w:t>5</w:t>
      </w:r>
      <w:r>
        <w:rPr>
          <w:rFonts w:hint="default"/>
          <w:spacing w:val="-18"/>
          <w:sz w:val="24"/>
          <w:szCs w:val="24"/>
        </w:rPr>
        <w:t xml:space="preserve"> 个节距。</w:t>
      </w:r>
    </w:p>
    <w:p w14:paraId="6ADD384C">
      <w:pPr>
        <w:pStyle w:val="13"/>
        <w:keepNext/>
        <w:keepLines/>
        <w:numPr>
          <w:ilvl w:val="0"/>
          <w:numId w:val="7"/>
        </w:numPr>
        <w:tabs>
          <w:tab w:val="left" w:pos="1199"/>
        </w:tabs>
        <w:kinsoku w:val="0"/>
        <w:overflowPunct w:val="0"/>
        <w:spacing w:before="140" w:beforeLines="0" w:afterLines="0" w:line="360" w:lineRule="auto"/>
        <w:ind w:right="252" w:firstLine="559"/>
        <w:rPr>
          <w:rFonts w:hint="default"/>
          <w:spacing w:val="-3"/>
          <w:sz w:val="24"/>
          <w:szCs w:val="24"/>
        </w:rPr>
      </w:pPr>
      <w:r>
        <w:rPr>
          <w:rFonts w:hint="default"/>
          <w:spacing w:val="-3"/>
          <w:sz w:val="24"/>
          <w:szCs w:val="24"/>
        </w:rPr>
        <w:t>各类电气元件及其连接导线的布置应保证标准规定的电气间隙和爬电距离，同时应考虑电气元件的机械配合和其它使用、维修要求。</w:t>
      </w:r>
    </w:p>
    <w:p w14:paraId="324536CA">
      <w:pPr>
        <w:pStyle w:val="13"/>
        <w:keepNext/>
        <w:keepLines/>
        <w:numPr>
          <w:ilvl w:val="0"/>
          <w:numId w:val="3"/>
        </w:numPr>
        <w:tabs>
          <w:tab w:val="left" w:pos="1619"/>
        </w:tabs>
        <w:kinsoku w:val="0"/>
        <w:overflowPunct w:val="0"/>
        <w:spacing w:before="12" w:beforeLines="0" w:afterLines="0" w:line="360" w:lineRule="auto"/>
        <w:ind w:left="1722" w:hanging="703"/>
        <w:rPr>
          <w:rFonts w:hint="default"/>
          <w:spacing w:val="-4"/>
          <w:sz w:val="24"/>
          <w:szCs w:val="24"/>
        </w:rPr>
      </w:pPr>
      <w:r>
        <w:rPr>
          <w:rFonts w:hint="default"/>
          <w:spacing w:val="-4"/>
          <w:sz w:val="24"/>
          <w:szCs w:val="24"/>
        </w:rPr>
        <w:t>柜内接线</w:t>
      </w:r>
    </w:p>
    <w:p w14:paraId="744B416A">
      <w:pPr>
        <w:pStyle w:val="13"/>
        <w:keepNext/>
        <w:keepLines/>
        <w:numPr>
          <w:ilvl w:val="0"/>
          <w:numId w:val="8"/>
        </w:numPr>
        <w:tabs>
          <w:tab w:val="left" w:pos="1202"/>
        </w:tabs>
        <w:kinsoku w:val="0"/>
        <w:overflowPunct w:val="0"/>
        <w:spacing w:before="140" w:beforeLines="0" w:afterLines="0" w:line="360" w:lineRule="auto"/>
        <w:ind w:right="252" w:firstLine="559"/>
        <w:jc w:val="both"/>
        <w:rPr>
          <w:rFonts w:hint="default"/>
          <w:spacing w:val="-2"/>
          <w:sz w:val="24"/>
          <w:szCs w:val="24"/>
        </w:rPr>
      </w:pPr>
      <w:r>
        <w:rPr>
          <w:rFonts w:hint="default"/>
          <w:spacing w:val="-3"/>
          <w:sz w:val="24"/>
          <w:szCs w:val="24"/>
        </w:rPr>
        <w:t xml:space="preserve">柜内主回路电缆截面不小于 </w:t>
      </w:r>
      <w:r>
        <w:rPr>
          <w:rFonts w:hint="default"/>
          <w:sz w:val="24"/>
          <w:szCs w:val="24"/>
        </w:rPr>
        <w:t>4mm²</w:t>
      </w:r>
      <w:r>
        <w:rPr>
          <w:rFonts w:hint="default"/>
          <w:spacing w:val="-6"/>
          <w:sz w:val="24"/>
          <w:szCs w:val="24"/>
        </w:rPr>
        <w:t xml:space="preserve">，额定耐压 </w:t>
      </w:r>
      <w:r>
        <w:rPr>
          <w:rFonts w:hint="default"/>
          <w:sz w:val="24"/>
          <w:szCs w:val="24"/>
        </w:rPr>
        <w:t>1kV，并具有耐热 、防</w:t>
      </w:r>
      <w:r>
        <w:rPr>
          <w:rFonts w:hint="default"/>
          <w:spacing w:val="-2"/>
          <w:sz w:val="24"/>
          <w:szCs w:val="24"/>
        </w:rPr>
        <w:t>潮、阻燃的性能。</w:t>
      </w:r>
    </w:p>
    <w:p w14:paraId="210C2F00">
      <w:pPr>
        <w:pStyle w:val="13"/>
        <w:keepNext/>
        <w:keepLines/>
        <w:numPr>
          <w:ilvl w:val="0"/>
          <w:numId w:val="8"/>
        </w:numPr>
        <w:tabs>
          <w:tab w:val="left" w:pos="1199"/>
        </w:tabs>
        <w:kinsoku w:val="0"/>
        <w:overflowPunct w:val="0"/>
        <w:spacing w:before="4" w:beforeLines="0" w:afterLines="0" w:line="360" w:lineRule="auto"/>
        <w:ind w:right="226" w:firstLine="559"/>
        <w:jc w:val="both"/>
        <w:rPr>
          <w:rFonts w:hint="default"/>
          <w:sz w:val="24"/>
          <w:szCs w:val="24"/>
        </w:rPr>
      </w:pPr>
      <w:r>
        <w:rPr>
          <w:rFonts w:hint="default"/>
          <w:spacing w:val="-2"/>
          <w:sz w:val="24"/>
          <w:szCs w:val="24"/>
        </w:rPr>
        <w:t xml:space="preserve">保护和测量的电流回路导线截面不小于 </w:t>
      </w:r>
      <w:r>
        <w:rPr>
          <w:rFonts w:hint="default"/>
          <w:sz w:val="24"/>
          <w:szCs w:val="24"/>
        </w:rPr>
        <w:t>2.5mm²</w:t>
      </w:r>
      <w:r>
        <w:rPr>
          <w:rFonts w:hint="default"/>
          <w:spacing w:val="-3"/>
          <w:sz w:val="24"/>
          <w:szCs w:val="24"/>
        </w:rPr>
        <w:t>，连接直流强电 端子</w:t>
      </w:r>
      <w:r>
        <w:rPr>
          <w:rFonts w:hint="default"/>
          <w:spacing w:val="-2"/>
          <w:sz w:val="24"/>
          <w:szCs w:val="24"/>
        </w:rPr>
        <w:t xml:space="preserve">的二次线不应小于 </w:t>
      </w:r>
      <w:r>
        <w:rPr>
          <w:rFonts w:hint="default"/>
          <w:sz w:val="24"/>
          <w:szCs w:val="24"/>
        </w:rPr>
        <w:t>1.5mm²</w:t>
      </w:r>
      <w:r>
        <w:rPr>
          <w:rFonts w:hint="default"/>
          <w:spacing w:val="-4"/>
          <w:sz w:val="24"/>
          <w:szCs w:val="24"/>
        </w:rPr>
        <w:t xml:space="preserve"> ；连接弱电回路端子的二次线不应小于 </w:t>
      </w:r>
      <w:r>
        <w:rPr>
          <w:rFonts w:hint="default"/>
          <w:sz w:val="24"/>
          <w:szCs w:val="24"/>
        </w:rPr>
        <w:t>0.5mm²，绝缘电压不小于 500V。</w:t>
      </w:r>
    </w:p>
    <w:p w14:paraId="4928D375">
      <w:pPr>
        <w:pStyle w:val="13"/>
        <w:keepNext/>
        <w:keepLines/>
        <w:numPr>
          <w:ilvl w:val="0"/>
          <w:numId w:val="8"/>
        </w:numPr>
        <w:tabs>
          <w:tab w:val="left" w:pos="1205"/>
        </w:tabs>
        <w:kinsoku w:val="0"/>
        <w:overflowPunct w:val="0"/>
        <w:spacing w:before="4" w:beforeLines="0" w:afterLines="0" w:line="360" w:lineRule="auto"/>
        <w:ind w:right="252" w:firstLine="559"/>
        <w:jc w:val="both"/>
        <w:rPr>
          <w:rFonts w:hint="default"/>
          <w:spacing w:val="-6"/>
          <w:sz w:val="24"/>
          <w:szCs w:val="24"/>
        </w:rPr>
      </w:pPr>
      <w:r>
        <w:rPr>
          <w:rFonts w:hint="default"/>
          <w:sz w:val="24"/>
          <w:szCs w:val="24"/>
        </w:rPr>
        <w:t>各馈线回路电流互感器的窗口直径应能使电缆（或铜排）方便 得穿</w:t>
      </w:r>
      <w:r>
        <w:rPr>
          <w:rFonts w:hint="default"/>
          <w:spacing w:val="-6"/>
          <w:sz w:val="24"/>
          <w:szCs w:val="24"/>
        </w:rPr>
        <w:t>过。</w:t>
      </w:r>
    </w:p>
    <w:p w14:paraId="6B167B4C">
      <w:pPr>
        <w:pStyle w:val="13"/>
        <w:keepNext/>
        <w:keepLines/>
        <w:numPr>
          <w:ilvl w:val="0"/>
          <w:numId w:val="8"/>
        </w:numPr>
        <w:tabs>
          <w:tab w:val="left" w:pos="1205"/>
        </w:tabs>
        <w:kinsoku w:val="0"/>
        <w:overflowPunct w:val="0"/>
        <w:spacing w:before="1" w:beforeLines="0" w:afterLines="0" w:line="360" w:lineRule="auto"/>
        <w:ind w:right="252" w:firstLine="559"/>
        <w:jc w:val="both"/>
        <w:rPr>
          <w:rFonts w:hint="default"/>
          <w:sz w:val="24"/>
          <w:szCs w:val="24"/>
        </w:rPr>
      </w:pPr>
      <w:r>
        <w:rPr>
          <w:rFonts w:hint="default"/>
          <w:sz w:val="24"/>
          <w:szCs w:val="24"/>
        </w:rPr>
        <w:t>二次线的连接（包括螺栓连接、插接）均应牢固可靠，线束应 横平竖直，配置坚牢，层次分明，整齐美观。相同回路元件走线方式应 一致。</w:t>
      </w:r>
    </w:p>
    <w:p w14:paraId="0281A001">
      <w:pPr>
        <w:pStyle w:val="13"/>
        <w:keepNext/>
        <w:keepLines/>
        <w:numPr>
          <w:ilvl w:val="0"/>
          <w:numId w:val="8"/>
        </w:numPr>
        <w:tabs>
          <w:tab w:val="left" w:pos="1205"/>
        </w:tabs>
        <w:kinsoku w:val="0"/>
        <w:overflowPunct w:val="0"/>
        <w:spacing w:beforeLines="0" w:afterLines="0" w:line="360" w:lineRule="auto"/>
        <w:ind w:right="252" w:firstLine="559"/>
        <w:jc w:val="both"/>
        <w:rPr>
          <w:rFonts w:hint="default"/>
          <w:spacing w:val="-2"/>
          <w:sz w:val="24"/>
          <w:szCs w:val="24"/>
        </w:rPr>
      </w:pPr>
      <w:r>
        <w:rPr>
          <w:rFonts w:hint="default"/>
          <w:sz w:val="24"/>
          <w:szCs w:val="24"/>
        </w:rPr>
        <w:t>控制回路与动力母线之间留有适当的间距，二次线不得从母线 相间</w:t>
      </w:r>
      <w:r>
        <w:rPr>
          <w:rFonts w:hint="default"/>
          <w:spacing w:val="-2"/>
          <w:sz w:val="24"/>
          <w:szCs w:val="24"/>
        </w:rPr>
        <w:t>穿过，并远离飞弧元件，不得防碍电器的操作。</w:t>
      </w:r>
    </w:p>
    <w:p w14:paraId="4EE826FA">
      <w:pPr>
        <w:pStyle w:val="13"/>
        <w:keepNext/>
        <w:keepLines/>
        <w:numPr>
          <w:ilvl w:val="0"/>
          <w:numId w:val="8"/>
        </w:numPr>
        <w:tabs>
          <w:tab w:val="left" w:pos="1199"/>
        </w:tabs>
        <w:kinsoku w:val="0"/>
        <w:overflowPunct w:val="0"/>
        <w:spacing w:beforeLines="0" w:afterLines="0" w:line="360" w:lineRule="auto"/>
        <w:ind w:right="250" w:firstLine="559"/>
        <w:jc w:val="both"/>
        <w:rPr>
          <w:rFonts w:hint="default"/>
          <w:sz w:val="24"/>
          <w:szCs w:val="24"/>
        </w:rPr>
      </w:pPr>
      <w:r>
        <w:rPr>
          <w:rFonts w:hint="default"/>
          <w:spacing w:val="-2"/>
          <w:sz w:val="24"/>
          <w:szCs w:val="24"/>
        </w:rPr>
        <w:t xml:space="preserve">每个三相电路在供外部连接的端子排上从上到下按 </w:t>
      </w:r>
      <w:r>
        <w:rPr>
          <w:rFonts w:hint="default"/>
          <w:sz w:val="24"/>
          <w:szCs w:val="24"/>
        </w:rPr>
        <w:t>A、B、C、N</w:t>
      </w:r>
      <w:r>
        <w:rPr>
          <w:rFonts w:hint="default"/>
          <w:spacing w:val="-10"/>
          <w:sz w:val="24"/>
          <w:szCs w:val="24"/>
        </w:rPr>
        <w:t xml:space="preserve"> 相序</w:t>
      </w:r>
      <w:r>
        <w:rPr>
          <w:rFonts w:hint="default"/>
          <w:spacing w:val="-2"/>
          <w:sz w:val="24"/>
          <w:szCs w:val="24"/>
        </w:rPr>
        <w:t>排列，电流互感器的二次回路接地接到开关柜端子排上，所有电流 互感器回</w:t>
      </w:r>
      <w:r>
        <w:rPr>
          <w:rFonts w:hint="default"/>
          <w:sz w:val="24"/>
          <w:szCs w:val="24"/>
        </w:rPr>
        <w:t>路的接线，使每个次级可以在端子排上用短接型端子予以短接 。</w:t>
      </w:r>
    </w:p>
    <w:p w14:paraId="4D5AA97A">
      <w:pPr>
        <w:pStyle w:val="13"/>
        <w:keepNext/>
        <w:keepLines/>
        <w:numPr>
          <w:ilvl w:val="0"/>
          <w:numId w:val="8"/>
        </w:numPr>
        <w:tabs>
          <w:tab w:val="left" w:pos="1205"/>
        </w:tabs>
        <w:kinsoku w:val="0"/>
        <w:overflowPunct w:val="0"/>
        <w:spacing w:before="130" w:beforeLines="0" w:afterLines="0" w:line="360" w:lineRule="auto"/>
        <w:ind w:right="252" w:firstLine="559"/>
        <w:rPr>
          <w:rFonts w:hint="default"/>
          <w:spacing w:val="-2"/>
          <w:sz w:val="24"/>
          <w:szCs w:val="24"/>
        </w:rPr>
      </w:pPr>
      <w:r>
        <w:rPr>
          <w:rFonts w:hint="default"/>
          <w:sz w:val="24"/>
          <w:szCs w:val="24"/>
        </w:rPr>
        <w:t>所有导线应当采用冷压接线头，导线不允许有中间接头，导线 任何</w:t>
      </w:r>
      <w:r>
        <w:rPr>
          <w:rFonts w:hint="default"/>
          <w:spacing w:val="-2"/>
          <w:sz w:val="24"/>
          <w:szCs w:val="24"/>
        </w:rPr>
        <w:t>部位都不允许焊接。</w:t>
      </w:r>
    </w:p>
    <w:p w14:paraId="7901EF9D">
      <w:pPr>
        <w:pStyle w:val="13"/>
        <w:keepNext/>
        <w:keepLines/>
        <w:numPr>
          <w:ilvl w:val="0"/>
          <w:numId w:val="8"/>
        </w:numPr>
        <w:tabs>
          <w:tab w:val="left" w:pos="1199"/>
        </w:tabs>
        <w:kinsoku w:val="0"/>
        <w:overflowPunct w:val="0"/>
        <w:spacing w:before="4" w:beforeLines="0" w:afterLines="0" w:line="360" w:lineRule="auto"/>
        <w:ind w:right="250" w:firstLine="559"/>
        <w:rPr>
          <w:rFonts w:hint="default"/>
          <w:sz w:val="24"/>
          <w:szCs w:val="24"/>
        </w:rPr>
      </w:pPr>
      <w:r>
        <w:rPr>
          <w:rFonts w:hint="default"/>
          <w:spacing w:val="-2"/>
          <w:sz w:val="24"/>
          <w:szCs w:val="24"/>
        </w:rPr>
        <w:t xml:space="preserve">连接到一个端子桩头的导线不多于 </w:t>
      </w:r>
      <w:r>
        <w:rPr>
          <w:rFonts w:hint="default"/>
          <w:sz w:val="24"/>
          <w:szCs w:val="24"/>
        </w:rPr>
        <w:t>1</w:t>
      </w:r>
      <w:r>
        <w:rPr>
          <w:rFonts w:hint="default"/>
          <w:spacing w:val="-7"/>
          <w:sz w:val="24"/>
          <w:szCs w:val="24"/>
        </w:rPr>
        <w:t xml:space="preserve"> 根，对内部导线，在需要 跳线</w:t>
      </w:r>
      <w:r>
        <w:rPr>
          <w:rFonts w:hint="default"/>
          <w:spacing w:val="-2"/>
          <w:sz w:val="24"/>
          <w:szCs w:val="24"/>
        </w:rPr>
        <w:t>的地方可以接两根导线，端子排上的导线固定采用平头铜螺丝。</w:t>
      </w:r>
    </w:p>
    <w:p w14:paraId="2088A1E5">
      <w:pPr>
        <w:pStyle w:val="13"/>
        <w:keepNext/>
        <w:keepLines/>
        <w:numPr>
          <w:ilvl w:val="0"/>
          <w:numId w:val="8"/>
        </w:numPr>
        <w:tabs>
          <w:tab w:val="left" w:pos="1199"/>
        </w:tabs>
        <w:kinsoku w:val="0"/>
        <w:overflowPunct w:val="0"/>
        <w:spacing w:before="1" w:beforeLines="0" w:afterLines="0" w:line="360" w:lineRule="auto"/>
        <w:ind w:right="112" w:firstLine="559"/>
        <w:rPr>
          <w:rFonts w:hint="default"/>
          <w:sz w:val="24"/>
          <w:szCs w:val="24"/>
        </w:rPr>
      </w:pPr>
      <w:r>
        <w:rPr>
          <w:rFonts w:hint="default"/>
          <w:sz w:val="24"/>
          <w:szCs w:val="24"/>
        </w:rPr>
        <w:t>所有电线绑扎牢固,以防止下垂和短线，或由于搬运中的震动而 引起</w:t>
      </w:r>
      <w:r>
        <w:rPr>
          <w:rFonts w:hint="default"/>
          <w:spacing w:val="-14"/>
          <w:sz w:val="24"/>
          <w:szCs w:val="24"/>
        </w:rPr>
        <w:t>的磨损，在线束的两端使用导线标识牌，由于采用绑扎布线，不同 电压等级，</w:t>
      </w:r>
      <w:r>
        <w:rPr>
          <w:rFonts w:hint="default"/>
          <w:sz w:val="24"/>
          <w:szCs w:val="24"/>
        </w:rPr>
        <w:t>不同控制回路分别绑扎，标识明确，导线标识牌在末端，并 便于认读。</w:t>
      </w:r>
    </w:p>
    <w:p w14:paraId="4891F365">
      <w:pPr>
        <w:pStyle w:val="13"/>
        <w:keepNext/>
        <w:keepLines/>
        <w:numPr>
          <w:ilvl w:val="0"/>
          <w:numId w:val="8"/>
        </w:numPr>
        <w:tabs>
          <w:tab w:val="left" w:pos="1341"/>
        </w:tabs>
        <w:kinsoku w:val="0"/>
        <w:overflowPunct w:val="0"/>
        <w:spacing w:before="4" w:beforeLines="0" w:afterLines="0" w:line="360" w:lineRule="auto"/>
        <w:ind w:right="250" w:firstLine="559"/>
        <w:jc w:val="both"/>
        <w:rPr>
          <w:rFonts w:hint="default"/>
          <w:spacing w:val="-2"/>
          <w:sz w:val="24"/>
          <w:szCs w:val="24"/>
        </w:rPr>
      </w:pPr>
      <w:r>
        <w:rPr>
          <w:rFonts w:hint="default"/>
          <w:spacing w:val="-2"/>
          <w:sz w:val="24"/>
          <w:szCs w:val="24"/>
        </w:rPr>
        <w:t>要求挠性连接的部位采用多股软铜线并留有余量，线束外套塑 料管加强绝缘，成束绑扎，与电器连接时，端部铰接，且有不开口的终 端端子或搪锡，不松散、断股。</w:t>
      </w:r>
    </w:p>
    <w:p w14:paraId="62D67F87">
      <w:pPr>
        <w:pStyle w:val="13"/>
        <w:keepNext/>
        <w:keepLines/>
        <w:numPr>
          <w:ilvl w:val="0"/>
          <w:numId w:val="8"/>
        </w:numPr>
        <w:tabs>
          <w:tab w:val="left" w:pos="1344"/>
        </w:tabs>
        <w:kinsoku w:val="0"/>
        <w:overflowPunct w:val="0"/>
        <w:spacing w:before="4" w:beforeLines="0" w:afterLines="0" w:line="360" w:lineRule="auto"/>
        <w:ind w:right="250" w:firstLine="559"/>
        <w:jc w:val="both"/>
        <w:rPr>
          <w:rFonts w:hint="default"/>
          <w:sz w:val="24"/>
          <w:szCs w:val="24"/>
        </w:rPr>
      </w:pPr>
      <w:r>
        <w:rPr>
          <w:rFonts w:hint="default"/>
          <w:sz w:val="24"/>
          <w:szCs w:val="24"/>
        </w:rPr>
        <w:t>对外接引得电缆应通过端子排连接，提供适当数量的备用端子 ,每排端子有不少于 15%的备用量。</w:t>
      </w:r>
    </w:p>
    <w:p w14:paraId="335A6169">
      <w:pPr>
        <w:pStyle w:val="13"/>
        <w:keepNext/>
        <w:keepLines/>
        <w:numPr>
          <w:ilvl w:val="0"/>
          <w:numId w:val="8"/>
        </w:numPr>
        <w:tabs>
          <w:tab w:val="left" w:pos="1341"/>
        </w:tabs>
        <w:kinsoku w:val="0"/>
        <w:overflowPunct w:val="0"/>
        <w:spacing w:beforeLines="0" w:afterLines="0" w:line="360" w:lineRule="auto"/>
        <w:ind w:right="250" w:firstLine="559"/>
        <w:jc w:val="both"/>
        <w:rPr>
          <w:rFonts w:hint="default"/>
          <w:spacing w:val="-2"/>
          <w:sz w:val="24"/>
          <w:szCs w:val="24"/>
        </w:rPr>
      </w:pPr>
      <w:r>
        <w:rPr>
          <w:rFonts w:hint="default"/>
          <w:spacing w:val="-2"/>
          <w:sz w:val="24"/>
          <w:szCs w:val="24"/>
        </w:rPr>
        <w:t>各电力回路设备的接线端子，其尺寸及接触面应能保证与其相连接的电缆接头可靠而方便的安装和连接，并保证带电距离的要求。</w:t>
      </w:r>
    </w:p>
    <w:p w14:paraId="29F48C24">
      <w:pPr>
        <w:pStyle w:val="13"/>
        <w:keepNext/>
        <w:keepLines/>
        <w:numPr>
          <w:ilvl w:val="0"/>
          <w:numId w:val="8"/>
        </w:numPr>
        <w:tabs>
          <w:tab w:val="left" w:pos="1341"/>
        </w:tabs>
        <w:kinsoku w:val="0"/>
        <w:overflowPunct w:val="0"/>
        <w:spacing w:beforeLines="0" w:afterLines="0" w:line="360" w:lineRule="auto"/>
        <w:ind w:right="112" w:firstLine="559"/>
        <w:jc w:val="both"/>
        <w:rPr>
          <w:rFonts w:hint="default"/>
          <w:spacing w:val="-3"/>
          <w:sz w:val="24"/>
          <w:szCs w:val="24"/>
        </w:rPr>
      </w:pPr>
      <w:r>
        <w:rPr>
          <w:rFonts w:hint="default"/>
          <w:spacing w:val="-3"/>
          <w:sz w:val="24"/>
          <w:szCs w:val="24"/>
        </w:rPr>
        <w:t>外部连接用的端子按能连贯地连接一根电缆内的所有缆芯来布</w:t>
      </w:r>
      <w:r>
        <w:rPr>
          <w:rFonts w:hint="default"/>
          <w:spacing w:val="-1"/>
          <w:sz w:val="24"/>
          <w:szCs w:val="24"/>
        </w:rPr>
        <w:t xml:space="preserve"> </w:t>
      </w:r>
      <w:r>
        <w:rPr>
          <w:rFonts w:hint="default"/>
          <w:spacing w:val="-2"/>
          <w:sz w:val="24"/>
          <w:szCs w:val="24"/>
        </w:rPr>
        <w:t>置，</w:t>
      </w:r>
      <w:r>
        <w:rPr>
          <w:rFonts w:hint="default"/>
          <w:spacing w:val="1"/>
          <w:sz w:val="24"/>
          <w:szCs w:val="24"/>
        </w:rPr>
        <w:t>一根外部连线接至各自的引出端子桩头上，在所有端子的正方留出足够的无</w:t>
      </w:r>
      <w:r>
        <w:rPr>
          <w:rFonts w:hint="default"/>
          <w:spacing w:val="-15"/>
          <w:sz w:val="24"/>
          <w:szCs w:val="24"/>
        </w:rPr>
        <w:t>阻挡的接线空间，对外引接电缆均通过端子排，出线端子用压</w:t>
      </w:r>
      <w:r>
        <w:rPr>
          <w:rFonts w:hint="default"/>
          <w:spacing w:val="-1"/>
          <w:sz w:val="24"/>
          <w:szCs w:val="24"/>
        </w:rPr>
        <w:t xml:space="preserve"> </w:t>
      </w:r>
      <w:r>
        <w:rPr>
          <w:rFonts w:hint="default"/>
          <w:spacing w:val="-3"/>
          <w:sz w:val="24"/>
          <w:szCs w:val="24"/>
        </w:rPr>
        <w:t>接式连接鼻子。</w:t>
      </w:r>
    </w:p>
    <w:p w14:paraId="6E158906">
      <w:pPr>
        <w:pStyle w:val="13"/>
        <w:keepNext/>
        <w:keepLines/>
        <w:numPr>
          <w:ilvl w:val="0"/>
          <w:numId w:val="8"/>
        </w:numPr>
        <w:tabs>
          <w:tab w:val="left" w:pos="1344"/>
        </w:tabs>
        <w:kinsoku w:val="0"/>
        <w:overflowPunct w:val="0"/>
        <w:spacing w:before="4" w:beforeLines="0" w:afterLines="0" w:line="360" w:lineRule="auto"/>
        <w:ind w:right="250" w:firstLine="559"/>
        <w:jc w:val="both"/>
        <w:rPr>
          <w:rFonts w:hint="default"/>
          <w:spacing w:val="-2"/>
          <w:sz w:val="24"/>
          <w:szCs w:val="24"/>
        </w:rPr>
      </w:pPr>
      <w:r>
        <w:rPr>
          <w:rFonts w:hint="default"/>
          <w:spacing w:val="-2"/>
          <w:sz w:val="24"/>
          <w:szCs w:val="24"/>
        </w:rPr>
        <w:t>二次回路导线两端都要进行标记，套装标号头。标号头应根据接线图所注明的数字，打印在套管上，并且套管直径应与导线粗细相配合。字迹清晰，准确无误，不能使用手写。</w:t>
      </w:r>
    </w:p>
    <w:p w14:paraId="37CB2DAA">
      <w:pPr>
        <w:pStyle w:val="13"/>
        <w:keepNext/>
        <w:keepLines/>
        <w:numPr>
          <w:ilvl w:val="0"/>
          <w:numId w:val="8"/>
        </w:numPr>
        <w:tabs>
          <w:tab w:val="left" w:pos="1341"/>
        </w:tabs>
        <w:kinsoku w:val="0"/>
        <w:overflowPunct w:val="0"/>
        <w:spacing w:before="4" w:beforeLines="0" w:afterLines="0" w:line="360" w:lineRule="auto"/>
        <w:ind w:right="252" w:firstLine="559"/>
        <w:rPr>
          <w:rFonts w:hint="default"/>
          <w:spacing w:val="-2"/>
          <w:sz w:val="24"/>
          <w:szCs w:val="24"/>
        </w:rPr>
      </w:pPr>
      <w:r>
        <w:rPr>
          <w:rFonts w:hint="default"/>
          <w:spacing w:val="-2"/>
          <w:sz w:val="24"/>
          <w:szCs w:val="24"/>
        </w:rPr>
        <w:t>对于配电柜内电气连锁,控制回路的接线，均进行严格检查，以保证回路的接线的正确和完整。</w:t>
      </w:r>
    </w:p>
    <w:p w14:paraId="579628EE">
      <w:pPr>
        <w:pStyle w:val="13"/>
        <w:keepNext/>
        <w:keepLines/>
        <w:numPr>
          <w:ilvl w:val="2"/>
          <w:numId w:val="0"/>
        </w:numPr>
        <w:tabs>
          <w:tab w:val="left" w:pos="1618"/>
        </w:tabs>
        <w:kinsoku w:val="0"/>
        <w:overflowPunct w:val="0"/>
        <w:spacing w:before="4" w:beforeLines="0" w:afterLines="0" w:line="360" w:lineRule="auto"/>
        <w:ind w:left="1617" w:hanging="841"/>
        <w:jc w:val="both"/>
        <w:rPr>
          <w:rFonts w:hint="default"/>
          <w:color w:val="000000"/>
          <w:spacing w:val="-3"/>
          <w:sz w:val="24"/>
          <w:szCs w:val="24"/>
        </w:rPr>
      </w:pPr>
      <w:r>
        <w:rPr>
          <w:rFonts w:hint="default" w:cs="Times New Roman"/>
          <w:color w:val="000000"/>
          <w:spacing w:val="-2"/>
          <w:sz w:val="24"/>
          <w:szCs w:val="24"/>
          <w:u w:val="none" w:color="auto"/>
        </w:rPr>
        <w:t xml:space="preserve">5.1.5 </w:t>
      </w:r>
      <w:r>
        <w:rPr>
          <w:rFonts w:hint="default"/>
          <w:spacing w:val="-3"/>
          <w:sz w:val="24"/>
          <w:szCs w:val="24"/>
        </w:rPr>
        <w:t>PLC柜配置及要求</w:t>
      </w:r>
    </w:p>
    <w:p w14:paraId="760CFB39">
      <w:pPr>
        <w:pStyle w:val="13"/>
        <w:keepNext/>
        <w:keepLines/>
        <w:numPr>
          <w:ilvl w:val="0"/>
          <w:numId w:val="9"/>
        </w:numPr>
        <w:tabs>
          <w:tab w:val="left" w:pos="1482"/>
        </w:tabs>
        <w:kinsoku w:val="0"/>
        <w:overflowPunct w:val="0"/>
        <w:spacing w:before="141" w:beforeLines="0" w:afterLines="0" w:line="360" w:lineRule="auto"/>
        <w:ind w:right="252" w:firstLine="559"/>
        <w:jc w:val="both"/>
        <w:rPr>
          <w:rFonts w:hint="default"/>
          <w:sz w:val="24"/>
          <w:szCs w:val="24"/>
        </w:rPr>
      </w:pPr>
      <w:r>
        <w:rPr>
          <w:rFonts w:hint="default"/>
          <w:sz w:val="24"/>
          <w:szCs w:val="24"/>
        </w:rPr>
        <w:t>端子排预留 15%做备用。</w:t>
      </w:r>
    </w:p>
    <w:p w14:paraId="1CDE6719">
      <w:pPr>
        <w:pStyle w:val="13"/>
        <w:keepNext/>
        <w:keepLines/>
        <w:numPr>
          <w:ilvl w:val="0"/>
          <w:numId w:val="9"/>
        </w:numPr>
        <w:tabs>
          <w:tab w:val="left" w:pos="1560"/>
        </w:tabs>
        <w:kinsoku w:val="0"/>
        <w:overflowPunct w:val="0"/>
        <w:spacing w:beforeLines="0" w:afterLines="0" w:line="360" w:lineRule="auto"/>
        <w:ind w:right="251" w:firstLine="559"/>
        <w:jc w:val="both"/>
        <w:rPr>
          <w:rFonts w:hint="default"/>
          <w:spacing w:val="-10"/>
          <w:sz w:val="24"/>
          <w:szCs w:val="24"/>
        </w:rPr>
      </w:pPr>
      <w:r>
        <w:rPr>
          <w:rFonts w:hint="default"/>
          <w:sz w:val="24"/>
          <w:szCs w:val="24"/>
        </w:rPr>
        <w:t>PLC</w:t>
      </w:r>
      <w:r>
        <w:rPr>
          <w:rFonts w:hint="default"/>
          <w:spacing w:val="18"/>
          <w:sz w:val="24"/>
          <w:szCs w:val="24"/>
        </w:rPr>
        <w:t xml:space="preserve"> 系统选用 </w:t>
      </w:r>
      <w:r>
        <w:rPr>
          <w:rFonts w:hint="default"/>
          <w:sz w:val="24"/>
          <w:szCs w:val="24"/>
        </w:rPr>
        <w:t>ABControlLogix</w:t>
      </w:r>
      <w:r>
        <w:rPr>
          <w:rFonts w:hint="default"/>
          <w:spacing w:val="17"/>
          <w:sz w:val="24"/>
          <w:szCs w:val="24"/>
        </w:rPr>
        <w:t xml:space="preserve"> 系列产品，其中机架电源</w:t>
      </w:r>
      <w:r>
        <w:rPr>
          <w:rFonts w:hint="default"/>
          <w:spacing w:val="-3"/>
          <w:sz w:val="24"/>
          <w:szCs w:val="24"/>
        </w:rPr>
        <w:t xml:space="preserve">选用 </w:t>
      </w:r>
      <w:r>
        <w:rPr>
          <w:rFonts w:hint="default"/>
          <w:sz w:val="24"/>
          <w:szCs w:val="24"/>
        </w:rPr>
        <w:t>1756-PA75</w:t>
      </w:r>
      <w:r>
        <w:rPr>
          <w:rFonts w:hint="default"/>
          <w:spacing w:val="-5"/>
          <w:sz w:val="24"/>
          <w:szCs w:val="24"/>
        </w:rPr>
        <w:t xml:space="preserve">，控制器选用 </w:t>
      </w:r>
      <w:r>
        <w:rPr>
          <w:rFonts w:hint="default"/>
          <w:sz w:val="24"/>
          <w:szCs w:val="24"/>
        </w:rPr>
        <w:t>1756-L75</w:t>
      </w:r>
      <w:r>
        <w:rPr>
          <w:rFonts w:hint="default"/>
          <w:spacing w:val="-2"/>
          <w:sz w:val="24"/>
          <w:szCs w:val="24"/>
        </w:rPr>
        <w:t>，</w:t>
      </w:r>
      <w:r>
        <w:rPr>
          <w:rFonts w:hint="default"/>
          <w:sz w:val="24"/>
          <w:szCs w:val="24"/>
        </w:rPr>
        <w:t>以太网通讯模块选用1756-EN2T，开关量输入模块选用 1756-IB32，开关量输出模块选用1756-OB32，电流/电压模拟量输入模块选用 1756-IF16,各类模块的数量符合控制规模和组态规范，各类信号通道保留 20%备用配置</w:t>
      </w:r>
      <w:r>
        <w:rPr>
          <w:rFonts w:hint="default"/>
          <w:spacing w:val="-10"/>
          <w:sz w:val="24"/>
          <w:szCs w:val="24"/>
        </w:rPr>
        <w:t>。</w:t>
      </w:r>
    </w:p>
    <w:p w14:paraId="63F44C84">
      <w:pPr>
        <w:pStyle w:val="13"/>
        <w:keepNext/>
        <w:keepLines/>
        <w:numPr>
          <w:ilvl w:val="0"/>
          <w:numId w:val="9"/>
        </w:numPr>
        <w:tabs>
          <w:tab w:val="left" w:pos="1480"/>
        </w:tabs>
        <w:kinsoku w:val="0"/>
        <w:overflowPunct w:val="0"/>
        <w:spacing w:before="7" w:beforeLines="0" w:afterLines="0" w:line="360" w:lineRule="auto"/>
        <w:ind w:left="1479" w:hanging="703"/>
        <w:rPr>
          <w:rFonts w:hint="default"/>
          <w:spacing w:val="-5"/>
          <w:sz w:val="24"/>
          <w:szCs w:val="24"/>
        </w:rPr>
      </w:pPr>
      <w:r>
        <w:rPr>
          <w:rFonts w:hint="default"/>
          <w:spacing w:val="-2"/>
          <w:sz w:val="24"/>
          <w:szCs w:val="24"/>
        </w:rPr>
        <w:t xml:space="preserve">所有开关量输入 </w:t>
      </w:r>
      <w:r>
        <w:rPr>
          <w:rFonts w:hint="default"/>
          <w:sz w:val="24"/>
          <w:szCs w:val="24"/>
        </w:rPr>
        <w:t>PLC</w:t>
      </w:r>
      <w:r>
        <w:rPr>
          <w:rFonts w:hint="default"/>
          <w:spacing w:val="-5"/>
          <w:sz w:val="24"/>
          <w:szCs w:val="24"/>
        </w:rPr>
        <w:t xml:space="preserve"> 前要加中间继电器使信号和 </w:t>
      </w:r>
      <w:r>
        <w:rPr>
          <w:rFonts w:hint="default"/>
          <w:sz w:val="24"/>
          <w:szCs w:val="24"/>
        </w:rPr>
        <w:t>PLC</w:t>
      </w:r>
      <w:r>
        <w:rPr>
          <w:rFonts w:hint="default"/>
          <w:spacing w:val="-5"/>
          <w:sz w:val="24"/>
          <w:szCs w:val="24"/>
        </w:rPr>
        <w:t xml:space="preserve"> 模块隔离。</w:t>
      </w:r>
    </w:p>
    <w:p w14:paraId="43FD42CA">
      <w:pPr>
        <w:pStyle w:val="13"/>
        <w:keepNext/>
        <w:keepLines/>
        <w:numPr>
          <w:ilvl w:val="0"/>
          <w:numId w:val="9"/>
        </w:numPr>
        <w:tabs>
          <w:tab w:val="left" w:pos="1488"/>
        </w:tabs>
        <w:kinsoku w:val="0"/>
        <w:overflowPunct w:val="0"/>
        <w:spacing w:before="140" w:beforeLines="0" w:afterLines="0" w:line="360" w:lineRule="auto"/>
        <w:ind w:right="250" w:firstLine="559"/>
        <w:jc w:val="both"/>
        <w:rPr>
          <w:rFonts w:hint="default"/>
          <w:spacing w:val="-2"/>
          <w:sz w:val="24"/>
          <w:szCs w:val="24"/>
        </w:rPr>
      </w:pPr>
      <w:r>
        <w:rPr>
          <w:rFonts w:hint="default"/>
          <w:sz w:val="24"/>
          <w:szCs w:val="24"/>
        </w:rPr>
        <w:t>PLC 控制柜的 I/O 型仪表输入信号须配置隔离器或配电器，其选</w:t>
      </w:r>
      <w:r>
        <w:rPr>
          <w:rFonts w:hint="default"/>
          <w:spacing w:val="-2"/>
          <w:sz w:val="24"/>
          <w:szCs w:val="24"/>
        </w:rPr>
        <w:t>型符合《酒钢（集团）自动化仪表配置及验收标准》。</w:t>
      </w:r>
    </w:p>
    <w:p w14:paraId="2A05ADAF">
      <w:pPr>
        <w:pStyle w:val="13"/>
        <w:keepNext/>
        <w:keepLines/>
        <w:numPr>
          <w:ilvl w:val="0"/>
          <w:numId w:val="9"/>
        </w:numPr>
        <w:tabs>
          <w:tab w:val="left" w:pos="1560"/>
        </w:tabs>
        <w:kinsoku w:val="0"/>
        <w:overflowPunct w:val="0"/>
        <w:spacing w:beforeLines="0" w:afterLines="0" w:line="360" w:lineRule="auto"/>
        <w:ind w:right="251" w:firstLine="559"/>
        <w:jc w:val="both"/>
        <w:rPr>
          <w:rFonts w:hint="default"/>
          <w:spacing w:val="-2"/>
          <w:sz w:val="24"/>
          <w:szCs w:val="24"/>
        </w:rPr>
      </w:pPr>
      <w:r>
        <w:rPr>
          <w:rFonts w:hint="default"/>
          <w:spacing w:val="-5"/>
          <w:sz w:val="24"/>
          <w:szCs w:val="24"/>
        </w:rPr>
        <w:t>单台设备、仪表电源必须配置独立的自动空气开关，开关容量与负载负荷匹配，设备、仪表的供电系统配电方式按需要采取三级或二级配电方</w:t>
      </w:r>
      <w:r>
        <w:rPr>
          <w:rFonts w:hint="default"/>
          <w:spacing w:val="-2"/>
          <w:sz w:val="24"/>
          <w:szCs w:val="24"/>
        </w:rPr>
        <w:t>式设计。所有空开下端子只允许接一根线，不允许多股共用，一个空开只允许给一个开关量模块供电，不允许给多个开关量模块共用供电。设备电源状</w:t>
      </w:r>
      <w:r>
        <w:rPr>
          <w:rFonts w:hint="default"/>
          <w:sz w:val="24"/>
          <w:szCs w:val="24"/>
        </w:rPr>
        <w:t>态要进 PLC 系统，并在上位机画面中进行显示。</w:t>
      </w:r>
    </w:p>
    <w:p w14:paraId="2A38360E">
      <w:pPr>
        <w:pStyle w:val="13"/>
        <w:keepNext/>
        <w:keepLines/>
        <w:numPr>
          <w:ilvl w:val="0"/>
          <w:numId w:val="9"/>
        </w:numPr>
        <w:tabs>
          <w:tab w:val="left" w:pos="1628"/>
        </w:tabs>
        <w:kinsoku w:val="0"/>
        <w:overflowPunct w:val="0"/>
        <w:spacing w:before="130" w:beforeLines="0" w:afterLines="0" w:line="360" w:lineRule="auto"/>
        <w:ind w:right="250" w:firstLine="559"/>
        <w:jc w:val="both"/>
        <w:rPr>
          <w:rFonts w:hint="default"/>
          <w:spacing w:val="-2"/>
          <w:sz w:val="24"/>
          <w:szCs w:val="24"/>
        </w:rPr>
      </w:pPr>
      <w:r>
        <w:rPr>
          <w:rFonts w:hint="default"/>
          <w:spacing w:val="-2"/>
          <w:sz w:val="24"/>
          <w:szCs w:val="24"/>
        </w:rPr>
        <w:t>项目所配备的自动化仪表必须按照《酒钢（集团）自动化仪表配置及验收标准》的要求进行选型，各类仪表、仪器首检由承包人负责检定合格后安装，出具检定报告及标签，检定费用由承包人承担。</w:t>
      </w:r>
    </w:p>
    <w:p w14:paraId="2EEC0596">
      <w:pPr>
        <w:pStyle w:val="2"/>
        <w:keepNext/>
        <w:keepLines/>
        <w:numPr>
          <w:ilvl w:val="0"/>
          <w:numId w:val="0"/>
        </w:numPr>
        <w:tabs>
          <w:tab w:val="left" w:pos="720"/>
        </w:tabs>
        <w:kinsoku w:val="0"/>
        <w:overflowPunct w:val="0"/>
        <w:spacing w:before="25" w:beforeLines="0" w:afterLines="0" w:line="360" w:lineRule="auto"/>
        <w:ind w:left="0" w:firstLine="0"/>
        <w:rPr>
          <w:rFonts w:hint="default"/>
          <w:spacing w:val="-1"/>
          <w:w w:val="95"/>
          <w:sz w:val="24"/>
          <w:szCs w:val="24"/>
        </w:rPr>
      </w:pPr>
      <w:r>
        <w:rPr>
          <w:rFonts w:hint="default" w:cs="Calibri"/>
          <w:spacing w:val="-1"/>
          <w:w w:val="99"/>
          <w:sz w:val="24"/>
          <w:szCs w:val="24"/>
          <w:u w:val="none" w:color="auto"/>
        </w:rPr>
        <w:t>6</w:t>
      </w:r>
      <w:r>
        <w:rPr>
          <w:rFonts w:hint="default"/>
          <w:spacing w:val="-1"/>
          <w:w w:val="95"/>
          <w:sz w:val="24"/>
          <w:szCs w:val="24"/>
        </w:rPr>
        <w:t>设计、制造、检验标准</w:t>
      </w:r>
    </w:p>
    <w:p w14:paraId="3F993E18">
      <w:pPr>
        <w:pStyle w:val="13"/>
        <w:keepNext/>
        <w:keepLines/>
        <w:numPr>
          <w:ilvl w:val="1"/>
          <w:numId w:val="0"/>
        </w:numPr>
        <w:tabs>
          <w:tab w:val="left" w:pos="1452"/>
        </w:tabs>
        <w:kinsoku w:val="0"/>
        <w:overflowPunct w:val="0"/>
        <w:spacing w:before="129" w:beforeLines="0" w:afterLines="0" w:line="360" w:lineRule="auto"/>
        <w:ind w:left="398" w:right="704" w:firstLine="0"/>
        <w:jc w:val="both"/>
        <w:rPr>
          <w:rFonts w:hint="default"/>
          <w:color w:val="000000"/>
          <w:spacing w:val="-2"/>
          <w:sz w:val="24"/>
          <w:szCs w:val="24"/>
        </w:rPr>
      </w:pPr>
      <w:r>
        <w:rPr>
          <w:rFonts w:hint="default" w:cs="Times New Roman"/>
          <w:color w:val="000000"/>
          <w:spacing w:val="-1"/>
          <w:sz w:val="24"/>
          <w:szCs w:val="24"/>
          <w:u w:val="none" w:color="auto"/>
        </w:rPr>
        <w:t>6.1</w:t>
      </w:r>
      <w:r>
        <w:rPr>
          <w:rFonts w:hint="default"/>
          <w:spacing w:val="-2"/>
          <w:sz w:val="24"/>
          <w:szCs w:val="24"/>
        </w:rPr>
        <w:t>合同设备包括乙方向其他厂商购买的所有附件和设备，这些附件和设备应符合相应的标准规范或法规的最新版本或其修正本的要求,除非另有特别说明，将包括在投标期内有效的任何修正和补充。</w:t>
      </w:r>
    </w:p>
    <w:p w14:paraId="5E02A714">
      <w:pPr>
        <w:pStyle w:val="13"/>
        <w:keepNext/>
        <w:keepLines/>
        <w:numPr>
          <w:ilvl w:val="1"/>
          <w:numId w:val="0"/>
        </w:numPr>
        <w:tabs>
          <w:tab w:val="left" w:pos="1452"/>
        </w:tabs>
        <w:kinsoku w:val="0"/>
        <w:overflowPunct w:val="0"/>
        <w:spacing w:before="4" w:beforeLines="0" w:afterLines="0" w:line="360" w:lineRule="auto"/>
        <w:ind w:left="398" w:right="703" w:firstLine="0"/>
        <w:jc w:val="both"/>
        <w:rPr>
          <w:rFonts w:hint="default"/>
          <w:color w:val="000000"/>
          <w:spacing w:val="-2"/>
          <w:sz w:val="24"/>
          <w:szCs w:val="24"/>
        </w:rPr>
      </w:pPr>
      <w:r>
        <w:rPr>
          <w:rFonts w:hint="default" w:cs="Times New Roman"/>
          <w:color w:val="000000"/>
          <w:spacing w:val="-1"/>
          <w:sz w:val="24"/>
          <w:szCs w:val="24"/>
          <w:u w:val="none" w:color="auto"/>
        </w:rPr>
        <w:t>6.2</w:t>
      </w:r>
      <w:r>
        <w:rPr>
          <w:rFonts w:hint="default"/>
          <w:spacing w:val="-2"/>
          <w:sz w:val="24"/>
          <w:szCs w:val="24"/>
        </w:rPr>
        <w:t>除非合同另有规定，均须遵守最新的国家标准（GB）。如采用合资或合作产品，还应遵守合作方国家标准，当上述标准不一致时按高标准执行。</w:t>
      </w:r>
    </w:p>
    <w:p w14:paraId="64723A1D">
      <w:pPr>
        <w:pStyle w:val="13"/>
        <w:keepNext/>
        <w:keepLines/>
        <w:numPr>
          <w:ilvl w:val="1"/>
          <w:numId w:val="0"/>
        </w:numPr>
        <w:tabs>
          <w:tab w:val="left" w:pos="1448"/>
        </w:tabs>
        <w:kinsoku w:val="0"/>
        <w:overflowPunct w:val="0"/>
        <w:spacing w:before="4" w:beforeLines="0" w:afterLines="0" w:line="360" w:lineRule="auto"/>
        <w:ind w:left="0" w:firstLine="476" w:firstLineChars="200"/>
        <w:jc w:val="both"/>
        <w:rPr>
          <w:rFonts w:hint="default"/>
          <w:color w:val="000000"/>
          <w:spacing w:val="-3"/>
          <w:sz w:val="24"/>
          <w:szCs w:val="24"/>
        </w:rPr>
      </w:pPr>
      <w:r>
        <w:rPr>
          <w:rFonts w:hint="default" w:cs="Times New Roman"/>
          <w:color w:val="000000"/>
          <w:spacing w:val="-1"/>
          <w:sz w:val="24"/>
          <w:szCs w:val="24"/>
          <w:u w:val="none" w:color="auto"/>
        </w:rPr>
        <w:t>6.3</w:t>
      </w:r>
      <w:r>
        <w:rPr>
          <w:rFonts w:hint="default"/>
          <w:spacing w:val="-3"/>
          <w:sz w:val="24"/>
          <w:szCs w:val="24"/>
        </w:rPr>
        <w:t>乙方提供的设备必须符合以下标准</w:t>
      </w:r>
    </w:p>
    <w:p w14:paraId="0465288D">
      <w:pPr>
        <w:pStyle w:val="5"/>
        <w:keepNext/>
        <w:keepLines/>
        <w:kinsoku w:val="0"/>
        <w:overflowPunct w:val="0"/>
        <w:spacing w:before="143" w:beforeLines="0" w:afterLines="0" w:line="360" w:lineRule="auto"/>
        <w:ind w:left="0" w:right="703" w:firstLine="472" w:firstLineChars="200"/>
        <w:rPr>
          <w:rFonts w:hint="default"/>
          <w:spacing w:val="-2"/>
          <w:sz w:val="24"/>
          <w:szCs w:val="24"/>
        </w:rPr>
      </w:pPr>
      <w:r>
        <w:rPr>
          <w:rFonts w:hint="default"/>
          <w:spacing w:val="-2"/>
          <w:sz w:val="24"/>
          <w:szCs w:val="24"/>
        </w:rPr>
        <w:t>所有设备的设计选型、制造、安装、检验及验收应遵循以下最新版本的标准和规范以及相关的工程文件要求,但不仅局限于此：</w:t>
      </w:r>
    </w:p>
    <w:p w14:paraId="060D0C63">
      <w:pPr>
        <w:keepNext/>
        <w:kinsoku w:val="0"/>
        <w:overflowPunct w:val="0"/>
        <w:snapToGrid w:val="0"/>
        <w:spacing w:beforeLines="0" w:afterLines="0" w:line="360" w:lineRule="auto"/>
        <w:ind w:firstLine="480" w:firstLineChars="200"/>
        <w:textAlignment w:val="baseline"/>
        <w:rPr>
          <w:rFonts w:hint="default" w:hAnsi="宋体"/>
          <w:color w:val="0C0C0C"/>
          <w:sz w:val="24"/>
          <w:szCs w:val="24"/>
        </w:rPr>
      </w:pPr>
      <w:r>
        <w:rPr>
          <w:rFonts w:hint="default" w:hAnsi="宋体"/>
          <w:color w:val="0C0C0C"/>
          <w:sz w:val="24"/>
          <w:szCs w:val="24"/>
        </w:rPr>
        <w:t>GB/T 7251.1-2023《低压成套开关设备和控制设备》</w:t>
      </w:r>
    </w:p>
    <w:p w14:paraId="2FFFE64A">
      <w:pPr>
        <w:keepNext/>
        <w:kinsoku w:val="0"/>
        <w:overflowPunct w:val="0"/>
        <w:snapToGrid w:val="0"/>
        <w:spacing w:beforeLines="0" w:afterLines="0" w:line="360" w:lineRule="auto"/>
        <w:ind w:firstLine="480" w:firstLineChars="200"/>
        <w:textAlignment w:val="baseline"/>
        <w:rPr>
          <w:rFonts w:hint="default" w:hAnsi="宋体"/>
          <w:color w:val="0C0C0C"/>
          <w:sz w:val="24"/>
          <w:szCs w:val="24"/>
        </w:rPr>
      </w:pPr>
      <w:r>
        <w:rPr>
          <w:rFonts w:hint="default" w:hAnsi="宋体"/>
          <w:color w:val="0C0C0C"/>
          <w:sz w:val="24"/>
          <w:szCs w:val="24"/>
        </w:rPr>
        <w:t>GB/T 7251.3-2017《操作箱》</w:t>
      </w:r>
    </w:p>
    <w:p w14:paraId="41B2FA38">
      <w:pPr>
        <w:keepNext/>
        <w:kinsoku w:val="0"/>
        <w:overflowPunct w:val="0"/>
        <w:snapToGrid w:val="0"/>
        <w:spacing w:beforeLines="0" w:afterLines="0" w:line="360" w:lineRule="auto"/>
        <w:ind w:firstLine="480" w:firstLineChars="200"/>
        <w:textAlignment w:val="baseline"/>
        <w:rPr>
          <w:rFonts w:hint="default" w:hAnsi="宋体"/>
          <w:color w:val="0C0C0C"/>
          <w:sz w:val="24"/>
          <w:szCs w:val="24"/>
        </w:rPr>
      </w:pPr>
      <w:r>
        <w:rPr>
          <w:rFonts w:hint="default" w:hAnsi="宋体"/>
          <w:color w:val="0C0C0C"/>
          <w:sz w:val="24"/>
          <w:szCs w:val="24"/>
        </w:rPr>
        <w:t>GB/T 4208-2017 《外壳防护等级（IP代码》</w:t>
      </w:r>
    </w:p>
    <w:p w14:paraId="3DBADFBA">
      <w:pPr>
        <w:keepNext/>
        <w:kinsoku w:val="0"/>
        <w:overflowPunct w:val="0"/>
        <w:snapToGrid w:val="0"/>
        <w:spacing w:beforeLines="0" w:afterLines="0" w:line="360" w:lineRule="auto"/>
        <w:ind w:left="293" w:leftChars="133" w:firstLine="240" w:firstLineChars="100"/>
        <w:textAlignment w:val="baseline"/>
        <w:rPr>
          <w:rFonts w:hint="default" w:hAnsi="宋体"/>
          <w:color w:val="0C0C0C"/>
          <w:sz w:val="24"/>
          <w:szCs w:val="24"/>
        </w:rPr>
      </w:pPr>
      <w:r>
        <w:rPr>
          <w:rFonts w:hint="default" w:hAnsi="宋体"/>
          <w:color w:val="0C0C0C"/>
          <w:sz w:val="24"/>
          <w:szCs w:val="24"/>
        </w:rPr>
        <w:t>GB/T 14048.7-2016《低压开关设备和控制设备 第7-1部分：辅助器件 铜导体的接线端子排》</w:t>
      </w:r>
    </w:p>
    <w:p w14:paraId="6E40AD08">
      <w:pPr>
        <w:keepNext/>
        <w:kinsoku w:val="0"/>
        <w:overflowPunct w:val="0"/>
        <w:snapToGrid w:val="0"/>
        <w:spacing w:beforeLines="0" w:afterLines="0" w:line="360" w:lineRule="auto"/>
        <w:ind w:left="293" w:leftChars="133" w:firstLine="240" w:firstLineChars="100"/>
        <w:textAlignment w:val="baseline"/>
        <w:rPr>
          <w:rFonts w:hint="default" w:hAnsi="宋体"/>
          <w:color w:val="0C0C0C"/>
          <w:sz w:val="24"/>
          <w:szCs w:val="24"/>
        </w:rPr>
      </w:pPr>
      <w:r>
        <w:rPr>
          <w:rFonts w:hint="default" w:hAnsi="宋体"/>
          <w:color w:val="0C0C0C"/>
          <w:sz w:val="24"/>
          <w:szCs w:val="24"/>
        </w:rPr>
        <w:t>GB/T 14048.8-2016《低压开关设备和控制设备 第7-2部分：辅助器件 铜导体的保护导体接线端子排》</w:t>
      </w:r>
    </w:p>
    <w:p w14:paraId="5F6C09B0">
      <w:pPr>
        <w:keepNext/>
        <w:kinsoku w:val="0"/>
        <w:overflowPunct w:val="0"/>
        <w:snapToGrid w:val="0"/>
        <w:spacing w:beforeLines="0" w:afterLines="0" w:line="360" w:lineRule="auto"/>
        <w:ind w:left="293" w:leftChars="133" w:firstLine="240" w:firstLineChars="100"/>
        <w:textAlignment w:val="baseline"/>
        <w:rPr>
          <w:rFonts w:hint="default" w:hAnsi="宋体"/>
          <w:color w:val="0C0C0C"/>
          <w:sz w:val="24"/>
          <w:szCs w:val="24"/>
        </w:rPr>
      </w:pPr>
      <w:r>
        <w:rPr>
          <w:rFonts w:hint="default" w:hAnsi="宋体"/>
          <w:color w:val="0C0C0C"/>
          <w:sz w:val="24"/>
          <w:szCs w:val="24"/>
        </w:rPr>
        <w:t>GB 50054-2011《低压配电设计规范》</w:t>
      </w:r>
    </w:p>
    <w:p w14:paraId="56F1E466">
      <w:pPr>
        <w:keepNext/>
        <w:kinsoku w:val="0"/>
        <w:overflowPunct w:val="0"/>
        <w:snapToGrid w:val="0"/>
        <w:spacing w:beforeLines="0" w:afterLines="0" w:line="360" w:lineRule="auto"/>
        <w:ind w:left="293" w:leftChars="133" w:firstLine="240" w:firstLineChars="100"/>
        <w:textAlignment w:val="baseline"/>
        <w:rPr>
          <w:rFonts w:hint="default"/>
          <w:spacing w:val="-3"/>
          <w:sz w:val="24"/>
          <w:szCs w:val="24"/>
        </w:rPr>
      </w:pPr>
      <w:r>
        <w:rPr>
          <w:rFonts w:hint="default" w:hAnsi="宋体"/>
          <w:color w:val="0C0C0C"/>
          <w:sz w:val="24"/>
          <w:szCs w:val="24"/>
        </w:rPr>
        <w:t>GB 50171-2012《电气装置安装工程盘、柜及二次回路接线施工及验收规范》</w:t>
      </w:r>
      <w:bookmarkStart w:id="18" w:name="bookmark36"/>
      <w:bookmarkEnd w:id="18"/>
      <w:bookmarkStart w:id="19" w:name="bookmark38"/>
      <w:bookmarkEnd w:id="19"/>
      <w:bookmarkStart w:id="20" w:name="bookmark47"/>
      <w:bookmarkEnd w:id="20"/>
      <w:bookmarkStart w:id="21" w:name="bookmark51"/>
      <w:bookmarkEnd w:id="21"/>
      <w:bookmarkStart w:id="22" w:name="bookmark53"/>
      <w:bookmarkEnd w:id="22"/>
      <w:bookmarkStart w:id="23" w:name="bookmark48"/>
      <w:bookmarkEnd w:id="23"/>
      <w:bookmarkStart w:id="24" w:name="bookmark35"/>
      <w:bookmarkEnd w:id="24"/>
      <w:bookmarkStart w:id="25" w:name="bookmark54"/>
      <w:bookmarkEnd w:id="25"/>
      <w:bookmarkStart w:id="26" w:name="bookmark52"/>
      <w:bookmarkEnd w:id="26"/>
      <w:bookmarkStart w:id="27" w:name="bookmark46"/>
      <w:bookmarkEnd w:id="27"/>
      <w:bookmarkStart w:id="28" w:name="bookmark37"/>
      <w:bookmarkEnd w:id="28"/>
      <w:bookmarkStart w:id="29" w:name="bookmark49"/>
      <w:bookmarkEnd w:id="29"/>
      <w:bookmarkStart w:id="30" w:name="bookmark45"/>
      <w:bookmarkEnd w:id="30"/>
      <w:bookmarkStart w:id="31" w:name="bookmark50"/>
      <w:bookmarkEnd w:id="31"/>
      <w:bookmarkStart w:id="32" w:name="bookmark40"/>
      <w:bookmarkEnd w:id="32"/>
      <w:bookmarkStart w:id="33" w:name="bookmark39"/>
      <w:bookmarkEnd w:id="33"/>
      <w:bookmarkStart w:id="34" w:name="bookmark95"/>
      <w:bookmarkEnd w:id="34"/>
    </w:p>
    <w:p w14:paraId="466DF2DA">
      <w:pPr>
        <w:pStyle w:val="5"/>
        <w:keepNext/>
        <w:keepLines/>
        <w:kinsoku w:val="0"/>
        <w:overflowPunct w:val="0"/>
        <w:spacing w:before="1" w:beforeLines="0" w:afterLines="0" w:line="360" w:lineRule="auto"/>
        <w:ind w:left="957" w:firstLine="0"/>
        <w:rPr>
          <w:rFonts w:hint="default"/>
          <w:spacing w:val="-3"/>
          <w:sz w:val="24"/>
          <w:szCs w:val="24"/>
        </w:rPr>
      </w:pPr>
      <w:r>
        <w:rPr>
          <w:rFonts w:hint="default"/>
          <w:spacing w:val="-3"/>
          <w:sz w:val="24"/>
          <w:szCs w:val="24"/>
        </w:rPr>
        <w:t>其它未注标准按国标、部标或行业标准制造验收，上述标准均应为</w:t>
      </w:r>
    </w:p>
    <w:p w14:paraId="520003CD">
      <w:pPr>
        <w:pStyle w:val="5"/>
        <w:keepNext/>
        <w:keepLines/>
        <w:kinsoku w:val="0"/>
        <w:overflowPunct w:val="0"/>
        <w:spacing w:before="143" w:beforeLines="0" w:afterLines="0" w:line="360" w:lineRule="auto"/>
        <w:ind w:left="398" w:firstLine="0"/>
        <w:rPr>
          <w:rFonts w:hint="default"/>
          <w:spacing w:val="-3"/>
          <w:sz w:val="24"/>
          <w:szCs w:val="24"/>
        </w:rPr>
      </w:pPr>
      <w:r>
        <w:rPr>
          <w:rFonts w:hint="default"/>
          <w:spacing w:val="-3"/>
          <w:sz w:val="24"/>
          <w:szCs w:val="24"/>
        </w:rPr>
        <w:t>招标截止日时的最新有效版本。</w:t>
      </w:r>
    </w:p>
    <w:p w14:paraId="05AEE7BE">
      <w:pPr>
        <w:pStyle w:val="13"/>
        <w:keepNext/>
        <w:keepLines/>
        <w:numPr>
          <w:ilvl w:val="1"/>
          <w:numId w:val="0"/>
        </w:numPr>
        <w:tabs>
          <w:tab w:val="left" w:pos="1445"/>
        </w:tabs>
        <w:kinsoku w:val="0"/>
        <w:overflowPunct w:val="0"/>
        <w:spacing w:before="140" w:beforeLines="0" w:afterLines="0" w:line="360" w:lineRule="auto"/>
        <w:ind w:left="348" w:right="795" w:firstLine="607"/>
        <w:jc w:val="both"/>
        <w:rPr>
          <w:rFonts w:hint="default"/>
          <w:color w:val="000000"/>
          <w:spacing w:val="-2"/>
          <w:sz w:val="24"/>
          <w:szCs w:val="24"/>
        </w:rPr>
      </w:pPr>
      <w:r>
        <w:rPr>
          <w:rFonts w:hint="default" w:cs="Times New Roman"/>
          <w:color w:val="000000"/>
          <w:spacing w:val="-1"/>
          <w:sz w:val="24"/>
          <w:szCs w:val="24"/>
          <w:u w:val="none" w:color="auto"/>
        </w:rPr>
        <w:t>6.4</w:t>
      </w:r>
      <w:r>
        <w:rPr>
          <w:rFonts w:hint="default"/>
          <w:spacing w:val="-2"/>
          <w:sz w:val="24"/>
          <w:szCs w:val="24"/>
        </w:rPr>
        <w:t>乙方应执行本规格书文件所列标准。有不一致时，按较高标准执行。如果本技术规范有与上述规程、规范和标准明显抵触的条文，乙方应及时通告甲方进行书面解决。</w:t>
      </w:r>
    </w:p>
    <w:p w14:paraId="621E26E2">
      <w:pPr>
        <w:pStyle w:val="13"/>
        <w:keepNext/>
        <w:keepLines/>
        <w:numPr>
          <w:ilvl w:val="1"/>
          <w:numId w:val="0"/>
        </w:numPr>
        <w:tabs>
          <w:tab w:val="left" w:pos="1496"/>
        </w:tabs>
        <w:kinsoku w:val="0"/>
        <w:overflowPunct w:val="0"/>
        <w:spacing w:before="4" w:beforeLines="0" w:afterLines="0" w:line="360" w:lineRule="auto"/>
        <w:ind w:left="398" w:right="744" w:firstLine="607"/>
        <w:jc w:val="both"/>
        <w:rPr>
          <w:rFonts w:hint="default"/>
          <w:color w:val="000000"/>
          <w:spacing w:val="-2"/>
          <w:sz w:val="24"/>
          <w:szCs w:val="24"/>
        </w:rPr>
      </w:pPr>
      <w:r>
        <w:rPr>
          <w:rFonts w:hint="default" w:cs="Times New Roman"/>
          <w:color w:val="000000"/>
          <w:spacing w:val="-1"/>
          <w:sz w:val="24"/>
          <w:szCs w:val="24"/>
          <w:u w:val="none" w:color="auto"/>
        </w:rPr>
        <w:t>6.5</w:t>
      </w:r>
      <w:r>
        <w:rPr>
          <w:rFonts w:hint="default"/>
          <w:spacing w:val="-2"/>
          <w:sz w:val="24"/>
          <w:szCs w:val="24"/>
        </w:rPr>
        <w:t>从合同签订之日至乙方开始制造之日的这段时期内，甲方有权提出因规程、规范和标准发生变化而产生的补充要求，乙方应遵守这些要求。且不论甲方知道与否，乙方有责任及时书面通知甲方有关规程、规范和标准发生的变化。</w:t>
      </w:r>
    </w:p>
    <w:p w14:paraId="483FD138">
      <w:pPr>
        <w:pStyle w:val="13"/>
        <w:keepNext/>
        <w:keepLines/>
        <w:numPr>
          <w:ilvl w:val="1"/>
          <w:numId w:val="0"/>
        </w:numPr>
        <w:tabs>
          <w:tab w:val="left" w:pos="1452"/>
        </w:tabs>
        <w:kinsoku w:val="0"/>
        <w:overflowPunct w:val="0"/>
        <w:spacing w:before="5" w:beforeLines="0" w:afterLines="0" w:line="360" w:lineRule="auto"/>
        <w:ind w:left="398" w:right="564" w:firstLine="238" w:firstLineChars="100"/>
        <w:jc w:val="both"/>
        <w:rPr>
          <w:rFonts w:hint="default" w:cs="Times New Roman"/>
          <w:color w:val="000000"/>
          <w:spacing w:val="-2"/>
          <w:sz w:val="24"/>
          <w:szCs w:val="24"/>
          <w:u w:val="none" w:color="auto"/>
        </w:rPr>
      </w:pPr>
      <w:r>
        <w:rPr>
          <w:rFonts w:hint="default" w:cs="Times New Roman"/>
          <w:color w:val="000000"/>
          <w:spacing w:val="-1"/>
          <w:sz w:val="24"/>
          <w:szCs w:val="24"/>
          <w:u w:val="none" w:color="auto"/>
        </w:rPr>
        <w:t>6.6</w:t>
      </w:r>
      <w:r>
        <w:rPr>
          <w:rFonts w:hint="default"/>
          <w:spacing w:val="2"/>
          <w:sz w:val="24"/>
          <w:szCs w:val="24"/>
        </w:rPr>
        <w:t>合同签订后乙方提出合同设备的设计﹑</w:t>
      </w:r>
      <w:r>
        <w:rPr>
          <w:rFonts w:hint="default"/>
          <w:spacing w:val="3"/>
          <w:sz w:val="24"/>
          <w:szCs w:val="24"/>
        </w:rPr>
        <w:t>制造</w:t>
      </w:r>
      <w:r>
        <w:rPr>
          <w:rFonts w:hint="default"/>
          <w:spacing w:val="4"/>
          <w:sz w:val="24"/>
          <w:szCs w:val="24"/>
        </w:rPr>
        <w:t>﹑</w:t>
      </w:r>
      <w:r>
        <w:rPr>
          <w:rFonts w:hint="default"/>
          <w:spacing w:val="2"/>
          <w:sz w:val="24"/>
          <w:szCs w:val="24"/>
        </w:rPr>
        <w:t>检验、试验</w:t>
      </w:r>
      <w:r>
        <w:rPr>
          <w:rFonts w:hint="default"/>
          <w:spacing w:val="4"/>
          <w:sz w:val="24"/>
          <w:szCs w:val="24"/>
        </w:rPr>
        <w:t>﹑</w:t>
      </w:r>
      <w:r>
        <w:rPr>
          <w:rFonts w:hint="default"/>
          <w:sz w:val="24"/>
          <w:szCs w:val="24"/>
        </w:rPr>
        <w:t>装</w:t>
      </w:r>
      <w:r>
        <w:rPr>
          <w:rFonts w:hint="default"/>
          <w:spacing w:val="-1"/>
          <w:sz w:val="24"/>
          <w:szCs w:val="24"/>
        </w:rPr>
        <w:t>配</w:t>
      </w:r>
      <w:r>
        <w:rPr>
          <w:rFonts w:hint="default"/>
          <w:spacing w:val="-3"/>
          <w:sz w:val="24"/>
          <w:szCs w:val="24"/>
        </w:rPr>
        <w:t>﹑</w:t>
      </w:r>
      <w:r>
        <w:rPr>
          <w:rFonts w:hint="default"/>
          <w:spacing w:val="-1"/>
          <w:sz w:val="24"/>
          <w:szCs w:val="24"/>
        </w:rPr>
        <w:t>安装</w:t>
      </w:r>
      <w:r>
        <w:rPr>
          <w:rFonts w:hint="default"/>
          <w:spacing w:val="-3"/>
          <w:sz w:val="24"/>
          <w:szCs w:val="24"/>
        </w:rPr>
        <w:t>﹑</w:t>
      </w:r>
      <w:r>
        <w:rPr>
          <w:rFonts w:hint="default"/>
          <w:spacing w:val="-1"/>
          <w:sz w:val="24"/>
          <w:szCs w:val="24"/>
        </w:rPr>
        <w:t>调试</w:t>
      </w:r>
      <w:r>
        <w:rPr>
          <w:rFonts w:hint="default"/>
          <w:spacing w:val="-3"/>
          <w:sz w:val="24"/>
          <w:szCs w:val="24"/>
        </w:rPr>
        <w:t>﹑</w:t>
      </w:r>
      <w:r>
        <w:rPr>
          <w:rFonts w:hint="default"/>
          <w:spacing w:val="-2"/>
          <w:sz w:val="24"/>
          <w:szCs w:val="24"/>
        </w:rPr>
        <w:t>试运行</w:t>
      </w:r>
      <w:r>
        <w:rPr>
          <w:rFonts w:hint="default"/>
          <w:spacing w:val="-1"/>
          <w:sz w:val="24"/>
          <w:szCs w:val="24"/>
        </w:rPr>
        <w:t>﹑</w:t>
      </w:r>
      <w:r>
        <w:rPr>
          <w:rFonts w:hint="default"/>
          <w:spacing w:val="-10"/>
          <w:sz w:val="24"/>
          <w:szCs w:val="24"/>
        </w:rPr>
        <w:t>验收和维护等标准清单给甲方，供甲方确认。</w:t>
      </w:r>
      <w:bookmarkStart w:id="35" w:name="6 设备的设计、制造要求"/>
      <w:bookmarkEnd w:id="35"/>
      <w:bookmarkStart w:id="36" w:name="_bookmark18"/>
      <w:bookmarkEnd w:id="36"/>
      <w:bookmarkStart w:id="37" w:name="6.2 布袋除尘器技术要求"/>
      <w:bookmarkEnd w:id="37"/>
      <w:bookmarkStart w:id="38" w:name="_bookmark20"/>
      <w:bookmarkEnd w:id="38"/>
      <w:bookmarkStart w:id="39" w:name="6.3 除尘风机技术要求"/>
      <w:bookmarkEnd w:id="39"/>
      <w:bookmarkStart w:id="40" w:name="_bookmark21"/>
      <w:bookmarkEnd w:id="40"/>
    </w:p>
    <w:p w14:paraId="31B8B151">
      <w:pPr>
        <w:pStyle w:val="3"/>
        <w:keepNext/>
        <w:keepLines/>
        <w:numPr>
          <w:ilvl w:val="0"/>
          <w:numId w:val="0"/>
        </w:numPr>
        <w:tabs>
          <w:tab w:val="left" w:pos="677"/>
        </w:tabs>
        <w:kinsoku w:val="0"/>
        <w:overflowPunct w:val="0"/>
        <w:spacing w:beforeLines="0" w:afterLines="0" w:line="360" w:lineRule="auto"/>
        <w:ind w:left="217" w:firstLine="0"/>
        <w:jc w:val="left"/>
        <w:rPr>
          <w:rFonts w:hint="default"/>
          <w:spacing w:val="-1"/>
          <w:w w:val="95"/>
          <w:sz w:val="24"/>
          <w:szCs w:val="24"/>
        </w:rPr>
      </w:pPr>
      <w:bookmarkStart w:id="41" w:name="6.8包装、运输和储存要求"/>
      <w:bookmarkEnd w:id="41"/>
      <w:bookmarkStart w:id="42" w:name="_bookmark25"/>
      <w:bookmarkEnd w:id="42"/>
      <w:r>
        <w:rPr>
          <w:rFonts w:hint="default"/>
          <w:spacing w:val="-1"/>
          <w:w w:val="95"/>
          <w:sz w:val="24"/>
          <w:szCs w:val="24"/>
        </w:rPr>
        <w:t>7 包装、运输和储存要求</w:t>
      </w:r>
    </w:p>
    <w:p w14:paraId="1FBE414D">
      <w:pPr>
        <w:pStyle w:val="13"/>
        <w:keepNext/>
        <w:keepLines/>
        <w:numPr>
          <w:ilvl w:val="0"/>
          <w:numId w:val="0"/>
        </w:numPr>
        <w:tabs>
          <w:tab w:val="left" w:pos="1623"/>
        </w:tabs>
        <w:kinsoku w:val="0"/>
        <w:overflowPunct w:val="0"/>
        <w:spacing w:before="142" w:beforeLines="0" w:afterLines="0" w:line="360" w:lineRule="auto"/>
        <w:ind w:left="0" w:right="250" w:firstLine="472" w:firstLineChars="200"/>
        <w:rPr>
          <w:rFonts w:hint="default"/>
          <w:spacing w:val="-4"/>
          <w:sz w:val="24"/>
          <w:szCs w:val="24"/>
        </w:rPr>
      </w:pPr>
      <w:r>
        <w:rPr>
          <w:rFonts w:hint="default"/>
          <w:spacing w:val="-2"/>
          <w:sz w:val="24"/>
          <w:szCs w:val="24"/>
        </w:rPr>
        <w:t>7.1铸件的内外表面应光滑，不得有气泡、裂纹及厚度显著不均匀等</w:t>
      </w:r>
      <w:r>
        <w:rPr>
          <w:rFonts w:hint="default"/>
          <w:spacing w:val="-4"/>
          <w:sz w:val="24"/>
          <w:szCs w:val="24"/>
        </w:rPr>
        <w:t>缺陷。</w:t>
      </w:r>
    </w:p>
    <w:p w14:paraId="78F8EC5B">
      <w:pPr>
        <w:pStyle w:val="13"/>
        <w:keepNext/>
        <w:keepLines/>
        <w:numPr>
          <w:ilvl w:val="0"/>
          <w:numId w:val="0"/>
        </w:numPr>
        <w:tabs>
          <w:tab w:val="left" w:pos="1548"/>
        </w:tabs>
        <w:kinsoku w:val="0"/>
        <w:overflowPunct w:val="0"/>
        <w:spacing w:before="2" w:beforeLines="0" w:afterLines="0" w:line="360" w:lineRule="auto"/>
        <w:ind w:left="0" w:right="252" w:firstLine="452" w:firstLineChars="200"/>
        <w:rPr>
          <w:rFonts w:hint="default"/>
          <w:spacing w:val="-2"/>
          <w:sz w:val="24"/>
          <w:szCs w:val="24"/>
        </w:rPr>
      </w:pPr>
      <w:r>
        <w:rPr>
          <w:rFonts w:hint="default"/>
          <w:spacing w:val="-7"/>
          <w:sz w:val="24"/>
          <w:szCs w:val="24"/>
        </w:rPr>
        <w:t>7.2设备须在检验和试验合格后使设备内部干燥、清洁，并且所有的开</w:t>
      </w:r>
      <w:r>
        <w:rPr>
          <w:rFonts w:hint="default"/>
          <w:spacing w:val="-2"/>
          <w:sz w:val="24"/>
          <w:szCs w:val="24"/>
        </w:rPr>
        <w:t>口都应封闭后方可进行包装、发货。</w:t>
      </w:r>
    </w:p>
    <w:p w14:paraId="145F6E8B">
      <w:pPr>
        <w:pStyle w:val="5"/>
        <w:keepNext/>
        <w:keepLines/>
        <w:kinsoku w:val="0"/>
        <w:overflowPunct w:val="0"/>
        <w:spacing w:beforeLines="0" w:afterLines="0" w:line="360" w:lineRule="auto"/>
        <w:ind w:left="0" w:right="250" w:firstLine="480" w:firstLineChars="200"/>
        <w:rPr>
          <w:rFonts w:hint="default"/>
          <w:spacing w:val="-2"/>
          <w:sz w:val="24"/>
          <w:szCs w:val="24"/>
        </w:rPr>
      </w:pPr>
      <w:r>
        <w:rPr>
          <w:rFonts w:hint="default"/>
          <w:sz w:val="24"/>
          <w:szCs w:val="24"/>
        </w:rPr>
        <w:t>7.3设备的包装应符合安全、经济不受损的要求，并适于长途运输。</w:t>
      </w:r>
      <w:r>
        <w:rPr>
          <w:rFonts w:hint="default"/>
          <w:spacing w:val="-2"/>
          <w:sz w:val="24"/>
          <w:szCs w:val="24"/>
        </w:rPr>
        <w:t>乙方应对不合适的包装所引起的零部件生锈、损坏和丢失承担全部责任。</w:t>
      </w:r>
    </w:p>
    <w:p w14:paraId="18D49717">
      <w:pPr>
        <w:pStyle w:val="13"/>
        <w:keepNext/>
        <w:keepLines/>
        <w:numPr>
          <w:ilvl w:val="0"/>
          <w:numId w:val="0"/>
        </w:numPr>
        <w:tabs>
          <w:tab w:val="left" w:pos="1623"/>
        </w:tabs>
        <w:kinsoku w:val="0"/>
        <w:overflowPunct w:val="0"/>
        <w:spacing w:beforeLines="0" w:afterLines="0" w:line="360" w:lineRule="auto"/>
        <w:ind w:left="0" w:right="250" w:firstLine="472" w:firstLineChars="200"/>
        <w:rPr>
          <w:rFonts w:hint="default"/>
          <w:spacing w:val="-2"/>
          <w:sz w:val="24"/>
          <w:szCs w:val="24"/>
        </w:rPr>
      </w:pPr>
      <w:r>
        <w:rPr>
          <w:rFonts w:hint="default"/>
          <w:spacing w:val="-2"/>
          <w:sz w:val="24"/>
          <w:szCs w:val="24"/>
        </w:rPr>
        <w:t>7.4所有零部件及附件的包装，应保证在运输和储存过程中不发生变形和损坏，碳钢零部件应有防锈措施。</w:t>
      </w:r>
    </w:p>
    <w:p w14:paraId="5F1C6A79">
      <w:pPr>
        <w:pStyle w:val="13"/>
        <w:keepNext/>
        <w:keepLines/>
        <w:numPr>
          <w:ilvl w:val="0"/>
          <w:numId w:val="0"/>
        </w:numPr>
        <w:tabs>
          <w:tab w:val="left" w:pos="1623"/>
        </w:tabs>
        <w:kinsoku w:val="0"/>
        <w:overflowPunct w:val="0"/>
        <w:spacing w:beforeLines="0" w:afterLines="0" w:line="360" w:lineRule="auto"/>
        <w:ind w:left="0" w:right="250" w:firstLine="472" w:firstLineChars="200"/>
        <w:rPr>
          <w:rFonts w:hint="default"/>
          <w:spacing w:val="-2"/>
          <w:sz w:val="24"/>
          <w:szCs w:val="24"/>
        </w:rPr>
      </w:pPr>
      <w:r>
        <w:rPr>
          <w:rFonts w:hint="default"/>
          <w:spacing w:val="-2"/>
          <w:sz w:val="24"/>
          <w:szCs w:val="24"/>
        </w:rPr>
        <w:t>7.5所有包装箱应正确地标识零部件和各种材料，以便运输、安装和查找，并提供详细的装箱清单。</w:t>
      </w:r>
    </w:p>
    <w:p w14:paraId="741710E9">
      <w:pPr>
        <w:pStyle w:val="5"/>
        <w:keepNext/>
        <w:keepLines/>
        <w:kinsoku w:val="0"/>
        <w:overflowPunct w:val="0"/>
        <w:spacing w:beforeLines="0" w:afterLines="0" w:line="360" w:lineRule="auto"/>
        <w:ind w:left="0" w:right="250" w:firstLine="432" w:firstLineChars="200"/>
        <w:rPr>
          <w:rFonts w:hint="default"/>
          <w:spacing w:val="-2"/>
          <w:sz w:val="24"/>
          <w:szCs w:val="24"/>
        </w:rPr>
      </w:pPr>
      <w:r>
        <w:rPr>
          <w:rFonts w:hint="default"/>
          <w:spacing w:val="-12"/>
          <w:sz w:val="24"/>
          <w:szCs w:val="24"/>
        </w:rPr>
        <w:t>7.6 运输时，长、大部件在运输时必须垫平，防止运输变形，运输中严</w:t>
      </w:r>
      <w:r>
        <w:rPr>
          <w:rFonts w:hint="default"/>
          <w:spacing w:val="-2"/>
          <w:sz w:val="24"/>
          <w:szCs w:val="24"/>
        </w:rPr>
        <w:t>禁碰撞和磨擦，以免损伤。</w:t>
      </w:r>
    </w:p>
    <w:p w14:paraId="6C0B6B3B">
      <w:pPr>
        <w:pStyle w:val="13"/>
        <w:keepNext/>
        <w:keepLines/>
        <w:numPr>
          <w:ilvl w:val="0"/>
          <w:numId w:val="0"/>
        </w:numPr>
        <w:tabs>
          <w:tab w:val="left" w:pos="1618"/>
        </w:tabs>
        <w:kinsoku w:val="0"/>
        <w:overflowPunct w:val="0"/>
        <w:spacing w:beforeLines="0" w:afterLines="0" w:line="360" w:lineRule="auto"/>
        <w:ind w:left="0" w:firstLine="468" w:firstLineChars="200"/>
        <w:rPr>
          <w:rFonts w:hint="default"/>
          <w:spacing w:val="-3"/>
          <w:sz w:val="24"/>
          <w:szCs w:val="24"/>
        </w:rPr>
      </w:pPr>
      <w:r>
        <w:rPr>
          <w:rFonts w:hint="default"/>
          <w:spacing w:val="-3"/>
          <w:sz w:val="24"/>
          <w:szCs w:val="24"/>
        </w:rPr>
        <w:t>7.7设备到场后，供、需双方共同清点、验收，并办理移交手续。</w:t>
      </w:r>
    </w:p>
    <w:p w14:paraId="0B01D881">
      <w:pPr>
        <w:pStyle w:val="13"/>
        <w:keepNext/>
        <w:keepLines/>
        <w:numPr>
          <w:ilvl w:val="0"/>
          <w:numId w:val="0"/>
        </w:numPr>
        <w:tabs>
          <w:tab w:val="left" w:pos="1618"/>
        </w:tabs>
        <w:kinsoku w:val="0"/>
        <w:overflowPunct w:val="0"/>
        <w:spacing w:before="141" w:beforeLines="0" w:afterLines="0" w:line="360" w:lineRule="auto"/>
        <w:ind w:left="0" w:firstLine="468" w:firstLineChars="200"/>
        <w:rPr>
          <w:rFonts w:hint="default"/>
          <w:spacing w:val="-3"/>
          <w:sz w:val="24"/>
          <w:szCs w:val="24"/>
        </w:rPr>
      </w:pPr>
      <w:r>
        <w:rPr>
          <w:rFonts w:hint="default"/>
          <w:spacing w:val="-3"/>
          <w:sz w:val="24"/>
          <w:szCs w:val="24"/>
        </w:rPr>
        <w:t>7.8备品备件应单独装箱发货。</w:t>
      </w:r>
    </w:p>
    <w:p w14:paraId="0F37A2CB">
      <w:pPr>
        <w:pStyle w:val="13"/>
        <w:keepNext/>
        <w:keepLines/>
        <w:numPr>
          <w:ilvl w:val="0"/>
          <w:numId w:val="0"/>
        </w:numPr>
        <w:tabs>
          <w:tab w:val="left" w:pos="1623"/>
        </w:tabs>
        <w:kinsoku w:val="0"/>
        <w:overflowPunct w:val="0"/>
        <w:spacing w:before="140" w:beforeLines="0" w:afterLines="0" w:line="360" w:lineRule="auto"/>
        <w:ind w:left="0" w:right="250" w:firstLine="472" w:firstLineChars="200"/>
        <w:rPr>
          <w:rFonts w:hint="default"/>
          <w:spacing w:val="-2"/>
          <w:sz w:val="24"/>
          <w:szCs w:val="24"/>
        </w:rPr>
      </w:pPr>
      <w:r>
        <w:rPr>
          <w:rFonts w:hint="default"/>
          <w:spacing w:val="-2"/>
          <w:sz w:val="24"/>
          <w:szCs w:val="24"/>
        </w:rPr>
        <w:t>7.9乙方应根据包装箱内所包装物品的特性，向甲方提供安全保存方法的说明。</w:t>
      </w:r>
    </w:p>
    <w:p w14:paraId="5F3E81F6">
      <w:pPr>
        <w:pStyle w:val="2"/>
        <w:keepNext/>
        <w:keepLines/>
        <w:numPr>
          <w:ilvl w:val="0"/>
          <w:numId w:val="0"/>
        </w:numPr>
        <w:tabs>
          <w:tab w:val="left" w:pos="540"/>
        </w:tabs>
        <w:kinsoku w:val="0"/>
        <w:overflowPunct w:val="0"/>
        <w:spacing w:before="90" w:beforeLines="0" w:afterLines="0" w:line="360" w:lineRule="auto"/>
        <w:ind w:left="218" w:firstLine="0"/>
        <w:jc w:val="both"/>
        <w:rPr>
          <w:rFonts w:hint="default"/>
          <w:spacing w:val="-1"/>
          <w:w w:val="95"/>
          <w:sz w:val="24"/>
          <w:szCs w:val="24"/>
        </w:rPr>
      </w:pPr>
      <w:bookmarkStart w:id="43" w:name="_bookmark26"/>
      <w:bookmarkEnd w:id="43"/>
      <w:bookmarkStart w:id="44" w:name="7 设备监造、检验、组装试运转及验收"/>
      <w:bookmarkEnd w:id="44"/>
      <w:r>
        <w:rPr>
          <w:rFonts w:hint="default"/>
          <w:spacing w:val="-1"/>
          <w:w w:val="95"/>
          <w:sz w:val="24"/>
          <w:szCs w:val="24"/>
        </w:rPr>
        <w:t>8设备监造、检验、组装试运转及验收</w:t>
      </w:r>
    </w:p>
    <w:p w14:paraId="5FE43FAA">
      <w:pPr>
        <w:pStyle w:val="3"/>
        <w:keepNext/>
        <w:keepLines/>
        <w:numPr>
          <w:ilvl w:val="0"/>
          <w:numId w:val="0"/>
        </w:numPr>
        <w:tabs>
          <w:tab w:val="left" w:pos="747"/>
        </w:tabs>
        <w:kinsoku w:val="0"/>
        <w:overflowPunct w:val="0"/>
        <w:spacing w:before="129" w:beforeLines="0" w:afterLines="0" w:line="360" w:lineRule="auto"/>
        <w:ind w:left="217" w:firstLine="0"/>
        <w:rPr>
          <w:rFonts w:hint="default" w:ascii="Arial" w:cs="Arial"/>
          <w:color w:val="000000"/>
          <w:spacing w:val="-3"/>
          <w:w w:val="95"/>
          <w:sz w:val="24"/>
          <w:szCs w:val="24"/>
        </w:rPr>
      </w:pPr>
      <w:bookmarkStart w:id="45" w:name="7.1 监造计划"/>
      <w:bookmarkEnd w:id="45"/>
      <w:bookmarkStart w:id="46" w:name="_bookmark27"/>
      <w:bookmarkEnd w:id="46"/>
      <w:r>
        <w:rPr>
          <w:rFonts w:hint="default"/>
          <w:spacing w:val="-3"/>
          <w:w w:val="95"/>
          <w:sz w:val="24"/>
          <w:szCs w:val="24"/>
        </w:rPr>
        <w:t>8.1监造计划</w:t>
      </w:r>
    </w:p>
    <w:p w14:paraId="06AD76D1">
      <w:pPr>
        <w:pStyle w:val="13"/>
        <w:keepNext/>
        <w:keepLines/>
        <w:numPr>
          <w:ilvl w:val="0"/>
          <w:numId w:val="0"/>
        </w:numPr>
        <w:tabs>
          <w:tab w:val="left" w:pos="1548"/>
        </w:tabs>
        <w:kinsoku w:val="0"/>
        <w:overflowPunct w:val="0"/>
        <w:spacing w:before="143" w:beforeLines="0" w:afterLines="0" w:line="360" w:lineRule="auto"/>
        <w:ind w:left="777" w:right="250" w:firstLine="0"/>
        <w:jc w:val="both"/>
        <w:rPr>
          <w:rFonts w:hint="default"/>
          <w:spacing w:val="-2"/>
          <w:sz w:val="24"/>
          <w:szCs w:val="24"/>
        </w:rPr>
      </w:pPr>
      <w:r>
        <w:rPr>
          <w:rFonts w:hint="default"/>
          <w:spacing w:val="-2"/>
          <w:sz w:val="24"/>
          <w:szCs w:val="24"/>
        </w:rPr>
        <w:t>8.1.1本计划用于合同执行期间对乙方提供的设备(包括对外分包的外购设备)进行检验、监造和验收，确保乙方所提供的设备符合本规格书规定的要求。甲方在适当的时候，派出具有一定技术水平和经验且责任心强的工程技术人员，按照国家有关规定和行业标准进行设备监造、出厂前检验、试验。</w:t>
      </w:r>
    </w:p>
    <w:p w14:paraId="175F527D">
      <w:pPr>
        <w:pStyle w:val="13"/>
        <w:keepNext/>
        <w:keepLines/>
        <w:numPr>
          <w:ilvl w:val="0"/>
          <w:numId w:val="0"/>
        </w:numPr>
        <w:tabs>
          <w:tab w:val="left" w:pos="1548"/>
        </w:tabs>
        <w:kinsoku w:val="0"/>
        <w:overflowPunct w:val="0"/>
        <w:spacing w:before="5" w:beforeLines="0" w:afterLines="0" w:line="360" w:lineRule="auto"/>
        <w:ind w:left="777" w:firstLine="0"/>
        <w:jc w:val="both"/>
        <w:rPr>
          <w:rFonts w:hint="default"/>
          <w:spacing w:val="-4"/>
          <w:sz w:val="24"/>
          <w:szCs w:val="24"/>
        </w:rPr>
      </w:pPr>
      <w:r>
        <w:rPr>
          <w:rFonts w:hint="default"/>
          <w:spacing w:val="-4"/>
          <w:sz w:val="24"/>
          <w:szCs w:val="24"/>
        </w:rPr>
        <w:t>8.1.2监造方式</w:t>
      </w:r>
    </w:p>
    <w:p w14:paraId="3D861425">
      <w:pPr>
        <w:pStyle w:val="5"/>
        <w:keepNext/>
        <w:keepLines/>
        <w:kinsoku w:val="0"/>
        <w:overflowPunct w:val="0"/>
        <w:spacing w:before="140" w:beforeLines="0" w:afterLines="0" w:line="360" w:lineRule="auto"/>
        <w:ind w:right="252"/>
        <w:rPr>
          <w:rFonts w:hint="default"/>
          <w:spacing w:val="-2"/>
          <w:sz w:val="24"/>
          <w:szCs w:val="24"/>
        </w:rPr>
      </w:pPr>
      <w:r>
        <w:rPr>
          <w:rFonts w:hint="default"/>
          <w:spacing w:val="-2"/>
          <w:sz w:val="24"/>
          <w:szCs w:val="24"/>
        </w:rPr>
        <w:t>文件见证和现场见证，每次监造内容完成后，乙方和甲方监造代表须在见证表上履行签字手续，原件供、需双方各执一份。</w:t>
      </w:r>
    </w:p>
    <w:p w14:paraId="6C527DB2">
      <w:pPr>
        <w:pStyle w:val="13"/>
        <w:keepNext/>
        <w:keepLines/>
        <w:numPr>
          <w:ilvl w:val="0"/>
          <w:numId w:val="0"/>
        </w:numPr>
        <w:tabs>
          <w:tab w:val="left" w:pos="1548"/>
        </w:tabs>
        <w:kinsoku w:val="0"/>
        <w:overflowPunct w:val="0"/>
        <w:spacing w:beforeLines="0" w:afterLines="0" w:line="360" w:lineRule="auto"/>
        <w:ind w:left="777" w:right="252" w:firstLine="0"/>
        <w:rPr>
          <w:rFonts w:hint="default"/>
          <w:spacing w:val="-4"/>
          <w:sz w:val="24"/>
          <w:szCs w:val="24"/>
        </w:rPr>
      </w:pPr>
      <w:r>
        <w:rPr>
          <w:rFonts w:hint="default"/>
          <w:spacing w:val="-11"/>
          <w:sz w:val="24"/>
          <w:szCs w:val="24"/>
        </w:rPr>
        <w:t>8.1.3乙方需向甲方参加监造、检验、试运转人员提供必要的工具和工作</w:t>
      </w:r>
      <w:r>
        <w:rPr>
          <w:rFonts w:hint="default"/>
          <w:spacing w:val="-4"/>
          <w:sz w:val="24"/>
          <w:szCs w:val="24"/>
        </w:rPr>
        <w:t>条件。</w:t>
      </w:r>
    </w:p>
    <w:p w14:paraId="62F44478">
      <w:pPr>
        <w:pStyle w:val="13"/>
        <w:keepNext/>
        <w:keepLines/>
        <w:numPr>
          <w:ilvl w:val="0"/>
          <w:numId w:val="0"/>
        </w:numPr>
        <w:tabs>
          <w:tab w:val="left" w:pos="1548"/>
        </w:tabs>
        <w:kinsoku w:val="0"/>
        <w:overflowPunct w:val="0"/>
        <w:spacing w:beforeLines="0" w:afterLines="0" w:line="360" w:lineRule="auto"/>
        <w:ind w:left="777" w:firstLine="0"/>
        <w:rPr>
          <w:rFonts w:hint="default"/>
          <w:spacing w:val="-3"/>
          <w:sz w:val="24"/>
          <w:szCs w:val="24"/>
        </w:rPr>
      </w:pPr>
      <w:r>
        <w:rPr>
          <w:rFonts w:hint="default"/>
          <w:spacing w:val="-3"/>
          <w:sz w:val="24"/>
          <w:szCs w:val="24"/>
        </w:rPr>
        <w:t>8.1.4具体监造内容由甲方根据实际情况确定。</w:t>
      </w:r>
    </w:p>
    <w:p w14:paraId="53763BC1">
      <w:pPr>
        <w:pStyle w:val="3"/>
        <w:keepNext/>
        <w:keepLines/>
        <w:numPr>
          <w:ilvl w:val="0"/>
          <w:numId w:val="0"/>
        </w:numPr>
        <w:tabs>
          <w:tab w:val="left" w:pos="747"/>
        </w:tabs>
        <w:kinsoku w:val="0"/>
        <w:overflowPunct w:val="0"/>
        <w:spacing w:before="141" w:beforeLines="0" w:afterLines="0" w:line="360" w:lineRule="auto"/>
        <w:ind w:left="217" w:firstLine="0"/>
        <w:jc w:val="left"/>
        <w:rPr>
          <w:rFonts w:hint="default" w:ascii="Arial" w:cs="Arial"/>
          <w:color w:val="000000"/>
          <w:spacing w:val="-3"/>
          <w:w w:val="95"/>
          <w:sz w:val="24"/>
          <w:szCs w:val="24"/>
        </w:rPr>
      </w:pPr>
      <w:bookmarkStart w:id="47" w:name="7.2 工厂检验"/>
      <w:bookmarkEnd w:id="47"/>
      <w:bookmarkStart w:id="48" w:name="_bookmark28"/>
      <w:bookmarkEnd w:id="48"/>
      <w:r>
        <w:rPr>
          <w:rFonts w:hint="default"/>
          <w:spacing w:val="-3"/>
          <w:w w:val="95"/>
          <w:sz w:val="24"/>
          <w:szCs w:val="24"/>
        </w:rPr>
        <w:t>8.2工厂检验</w:t>
      </w:r>
    </w:p>
    <w:p w14:paraId="68B8FE2B">
      <w:pPr>
        <w:pStyle w:val="13"/>
        <w:keepNext/>
        <w:keepLines/>
        <w:numPr>
          <w:ilvl w:val="0"/>
          <w:numId w:val="0"/>
        </w:numPr>
        <w:tabs>
          <w:tab w:val="left" w:pos="1548"/>
        </w:tabs>
        <w:kinsoku w:val="0"/>
        <w:overflowPunct w:val="0"/>
        <w:spacing w:before="140" w:beforeLines="0" w:afterLines="0" w:line="360" w:lineRule="auto"/>
        <w:ind w:left="777" w:right="250" w:firstLine="0"/>
        <w:jc w:val="both"/>
        <w:rPr>
          <w:rFonts w:hint="default"/>
          <w:spacing w:val="-2"/>
          <w:sz w:val="24"/>
          <w:szCs w:val="24"/>
        </w:rPr>
      </w:pPr>
      <w:r>
        <w:rPr>
          <w:rFonts w:hint="default"/>
          <w:spacing w:val="-7"/>
          <w:sz w:val="24"/>
          <w:szCs w:val="24"/>
        </w:rPr>
        <w:t>8.2.1工厂检验是质量控制的一个重要组成部分，乙方必须严格进行厂内</w:t>
      </w:r>
      <w:r>
        <w:rPr>
          <w:rFonts w:hint="default"/>
          <w:spacing w:val="-2"/>
          <w:sz w:val="24"/>
          <w:szCs w:val="24"/>
        </w:rPr>
        <w:t>各环节的检验和试验。乙方提供的合同设备必须签发质量证明、检验记录和测试报告，并且作为交货时质量证明文件的组成部分。</w:t>
      </w:r>
    </w:p>
    <w:p w14:paraId="5DACCD7D">
      <w:pPr>
        <w:pStyle w:val="13"/>
        <w:keepNext/>
        <w:keepLines/>
        <w:numPr>
          <w:ilvl w:val="0"/>
          <w:numId w:val="0"/>
        </w:numPr>
        <w:tabs>
          <w:tab w:val="left" w:pos="1548"/>
        </w:tabs>
        <w:kinsoku w:val="0"/>
        <w:overflowPunct w:val="0"/>
        <w:spacing w:before="4" w:beforeLines="0" w:afterLines="0" w:line="360" w:lineRule="auto"/>
        <w:ind w:left="777" w:right="250" w:firstLine="0"/>
        <w:jc w:val="both"/>
        <w:rPr>
          <w:rFonts w:hint="default"/>
          <w:spacing w:val="-2"/>
          <w:sz w:val="24"/>
          <w:szCs w:val="24"/>
        </w:rPr>
      </w:pPr>
      <w:r>
        <w:rPr>
          <w:rFonts w:hint="default"/>
          <w:spacing w:val="-4"/>
          <w:sz w:val="24"/>
          <w:szCs w:val="24"/>
        </w:rPr>
        <w:t>8.2.2检验的范围包括原材料和元器件的进厂、部件的加工、组装、试验</w:t>
      </w:r>
      <w:r>
        <w:rPr>
          <w:rFonts w:hint="default"/>
          <w:spacing w:val="-2"/>
          <w:sz w:val="24"/>
          <w:szCs w:val="24"/>
        </w:rPr>
        <w:t>至出厂检验。机体的材料试验，机体的焊缝检查。</w:t>
      </w:r>
    </w:p>
    <w:p w14:paraId="568FAE98">
      <w:pPr>
        <w:pStyle w:val="13"/>
        <w:keepNext/>
        <w:keepLines/>
        <w:numPr>
          <w:ilvl w:val="0"/>
          <w:numId w:val="0"/>
        </w:numPr>
        <w:tabs>
          <w:tab w:val="left" w:pos="1548"/>
        </w:tabs>
        <w:kinsoku w:val="0"/>
        <w:overflowPunct w:val="0"/>
        <w:spacing w:beforeLines="0" w:afterLines="0" w:line="360" w:lineRule="auto"/>
        <w:ind w:left="777" w:right="250" w:firstLine="0"/>
        <w:jc w:val="both"/>
        <w:rPr>
          <w:rFonts w:hint="default"/>
          <w:spacing w:val="-2"/>
          <w:sz w:val="24"/>
          <w:szCs w:val="24"/>
        </w:rPr>
      </w:pPr>
      <w:r>
        <w:rPr>
          <w:rFonts w:hint="default"/>
          <w:spacing w:val="-4"/>
          <w:sz w:val="24"/>
          <w:szCs w:val="24"/>
        </w:rPr>
        <w:t>8.2.3各部件在组装前，应进行零件检查，不合格零件不允许组装。组装</w:t>
      </w:r>
      <w:r>
        <w:rPr>
          <w:rFonts w:hint="default"/>
          <w:spacing w:val="-2"/>
          <w:sz w:val="24"/>
          <w:szCs w:val="24"/>
        </w:rPr>
        <w:t>过程中必须按有关工厂标准及国家和行业规范进行检查，所有检查项目结果必须满足有关要求。</w:t>
      </w:r>
    </w:p>
    <w:p w14:paraId="50D75E40">
      <w:pPr>
        <w:pStyle w:val="13"/>
        <w:keepNext/>
        <w:keepLines/>
        <w:numPr>
          <w:ilvl w:val="0"/>
          <w:numId w:val="0"/>
        </w:numPr>
        <w:tabs>
          <w:tab w:val="left" w:pos="1548"/>
        </w:tabs>
        <w:kinsoku w:val="0"/>
        <w:overflowPunct w:val="0"/>
        <w:spacing w:beforeLines="0" w:afterLines="0" w:line="360" w:lineRule="auto"/>
        <w:ind w:left="777" w:right="250" w:firstLine="0"/>
        <w:jc w:val="both"/>
        <w:rPr>
          <w:rFonts w:hint="default"/>
          <w:spacing w:val="-2"/>
          <w:sz w:val="24"/>
          <w:szCs w:val="24"/>
        </w:rPr>
      </w:pPr>
      <w:r>
        <w:rPr>
          <w:rFonts w:hint="default"/>
          <w:spacing w:val="-7"/>
          <w:sz w:val="24"/>
          <w:szCs w:val="24"/>
        </w:rPr>
        <w:t>8.2.4乙方检验结果要满足本规格书的技术和质量要求，如有不符之处或</w:t>
      </w:r>
      <w:r>
        <w:rPr>
          <w:rFonts w:hint="default"/>
          <w:spacing w:val="-2"/>
          <w:sz w:val="24"/>
          <w:szCs w:val="24"/>
        </w:rPr>
        <w:t>达不到标准要求，乙方要采取措施处理直至满足。</w:t>
      </w:r>
    </w:p>
    <w:p w14:paraId="7A3537CE">
      <w:pPr>
        <w:pStyle w:val="3"/>
        <w:keepNext/>
        <w:keepLines/>
        <w:numPr>
          <w:ilvl w:val="0"/>
          <w:numId w:val="0"/>
        </w:numPr>
        <w:tabs>
          <w:tab w:val="left" w:pos="747"/>
        </w:tabs>
        <w:kinsoku w:val="0"/>
        <w:overflowPunct w:val="0"/>
        <w:spacing w:before="4" w:beforeLines="0" w:afterLines="0" w:line="360" w:lineRule="auto"/>
        <w:ind w:left="217" w:firstLine="0"/>
        <w:rPr>
          <w:rFonts w:hint="default" w:ascii="Arial" w:cs="Arial"/>
          <w:color w:val="000000"/>
          <w:spacing w:val="-2"/>
          <w:w w:val="95"/>
          <w:sz w:val="24"/>
          <w:szCs w:val="24"/>
        </w:rPr>
      </w:pPr>
      <w:bookmarkStart w:id="49" w:name="7.3 组装、试运转及验收"/>
      <w:bookmarkEnd w:id="49"/>
      <w:bookmarkStart w:id="50" w:name="_bookmark29"/>
      <w:bookmarkEnd w:id="50"/>
      <w:r>
        <w:rPr>
          <w:rFonts w:hint="default"/>
          <w:spacing w:val="-2"/>
          <w:w w:val="95"/>
          <w:sz w:val="24"/>
          <w:szCs w:val="24"/>
        </w:rPr>
        <w:t>8.3组装、试运转及验收</w:t>
      </w:r>
    </w:p>
    <w:p w14:paraId="61B4F7EF">
      <w:pPr>
        <w:pStyle w:val="13"/>
        <w:keepNext/>
        <w:keepLines/>
        <w:numPr>
          <w:ilvl w:val="0"/>
          <w:numId w:val="0"/>
        </w:numPr>
        <w:tabs>
          <w:tab w:val="left" w:pos="1548"/>
        </w:tabs>
        <w:kinsoku w:val="0"/>
        <w:overflowPunct w:val="0"/>
        <w:spacing w:before="140" w:beforeLines="0" w:afterLines="0" w:line="360" w:lineRule="auto"/>
        <w:ind w:left="777" w:right="250" w:firstLine="0"/>
        <w:jc w:val="both"/>
        <w:rPr>
          <w:rFonts w:hint="default"/>
          <w:spacing w:val="-2"/>
          <w:sz w:val="24"/>
          <w:szCs w:val="24"/>
        </w:rPr>
      </w:pPr>
      <w:r>
        <w:rPr>
          <w:rFonts w:hint="default"/>
          <w:spacing w:val="-7"/>
          <w:sz w:val="24"/>
          <w:szCs w:val="24"/>
        </w:rPr>
        <w:t>8.3.1出厂检验前应邀请业主方及甲方代表参加，并对整机及其它业主方</w:t>
      </w:r>
      <w:r>
        <w:rPr>
          <w:rFonts w:hint="default"/>
          <w:spacing w:val="-2"/>
          <w:sz w:val="24"/>
          <w:szCs w:val="24"/>
        </w:rPr>
        <w:t>和甲方认为必要的部件进行试装、试运行，甲方对试运行的见证并不代表可以免除乙方的设备在现场发生事故的责任。</w:t>
      </w:r>
    </w:p>
    <w:p w14:paraId="7C56E868">
      <w:pPr>
        <w:pStyle w:val="13"/>
        <w:keepNext/>
        <w:keepLines/>
        <w:numPr>
          <w:ilvl w:val="0"/>
          <w:numId w:val="0"/>
        </w:numPr>
        <w:tabs>
          <w:tab w:val="left" w:pos="1548"/>
        </w:tabs>
        <w:kinsoku w:val="0"/>
        <w:overflowPunct w:val="0"/>
        <w:spacing w:before="4" w:beforeLines="0" w:afterLines="0" w:line="360" w:lineRule="auto"/>
        <w:ind w:left="777" w:firstLine="0"/>
        <w:jc w:val="both"/>
        <w:rPr>
          <w:rFonts w:hint="default"/>
          <w:spacing w:val="-3"/>
          <w:sz w:val="24"/>
          <w:szCs w:val="24"/>
        </w:rPr>
      </w:pPr>
      <w:r>
        <w:rPr>
          <w:rFonts w:hint="default"/>
          <w:spacing w:val="-3"/>
          <w:sz w:val="24"/>
          <w:szCs w:val="24"/>
        </w:rPr>
        <w:t>8.3.2整机性能检验、整机的验收工作在设备使用现场进行。</w:t>
      </w:r>
    </w:p>
    <w:p w14:paraId="43C3A8F7">
      <w:pPr>
        <w:pStyle w:val="13"/>
        <w:keepNext/>
        <w:keepLines/>
        <w:numPr>
          <w:ilvl w:val="0"/>
          <w:numId w:val="0"/>
        </w:numPr>
        <w:tabs>
          <w:tab w:val="left" w:pos="1548"/>
        </w:tabs>
        <w:kinsoku w:val="0"/>
        <w:overflowPunct w:val="0"/>
        <w:spacing w:before="141" w:beforeLines="0" w:afterLines="0" w:line="360" w:lineRule="auto"/>
        <w:ind w:left="777" w:firstLine="0"/>
        <w:jc w:val="both"/>
        <w:rPr>
          <w:rFonts w:hint="default"/>
          <w:spacing w:val="-3"/>
          <w:sz w:val="24"/>
          <w:szCs w:val="24"/>
        </w:rPr>
      </w:pPr>
      <w:r>
        <w:rPr>
          <w:rFonts w:hint="default"/>
          <w:spacing w:val="-3"/>
          <w:sz w:val="24"/>
          <w:szCs w:val="24"/>
        </w:rPr>
        <w:t>8.3.3各项检验、验收工作，由乙方向甲方提交检验或验收报告。</w:t>
      </w:r>
    </w:p>
    <w:p w14:paraId="1A7F7D21">
      <w:pPr>
        <w:pStyle w:val="5"/>
        <w:keepNext/>
        <w:keepLines/>
        <w:kinsoku w:val="0"/>
        <w:overflowPunct w:val="0"/>
        <w:spacing w:before="130" w:beforeLines="0" w:afterLines="0" w:line="360" w:lineRule="auto"/>
        <w:ind w:right="250" w:firstLine="0"/>
        <w:rPr>
          <w:rFonts w:hint="default"/>
          <w:spacing w:val="-2"/>
          <w:sz w:val="24"/>
          <w:szCs w:val="24"/>
        </w:rPr>
      </w:pPr>
      <w:r>
        <w:rPr>
          <w:rFonts w:hint="default"/>
          <w:spacing w:val="-2"/>
          <w:sz w:val="24"/>
          <w:szCs w:val="24"/>
        </w:rPr>
        <w:t>某项检验、验收不能满足标准、规范及性能要求时，乙方应自费自行调整、修改和补充。</w:t>
      </w:r>
    </w:p>
    <w:p w14:paraId="0238BB28">
      <w:pPr>
        <w:pStyle w:val="13"/>
        <w:keepNext/>
        <w:keepLines/>
        <w:numPr>
          <w:ilvl w:val="0"/>
          <w:numId w:val="0"/>
        </w:numPr>
        <w:tabs>
          <w:tab w:val="left" w:pos="1548"/>
        </w:tabs>
        <w:kinsoku w:val="0"/>
        <w:overflowPunct w:val="0"/>
        <w:spacing w:before="4" w:beforeLines="0" w:afterLines="0" w:line="360" w:lineRule="auto"/>
        <w:ind w:left="777" w:right="108" w:firstLine="0"/>
        <w:rPr>
          <w:rFonts w:hint="default"/>
          <w:spacing w:val="-2"/>
          <w:sz w:val="24"/>
          <w:szCs w:val="24"/>
        </w:rPr>
      </w:pPr>
      <w:r>
        <w:rPr>
          <w:rFonts w:hint="default"/>
          <w:spacing w:val="-11"/>
          <w:sz w:val="24"/>
          <w:szCs w:val="24"/>
        </w:rPr>
        <w:t>8.3.4甲方检验人员在乙方设备</w:t>
      </w:r>
      <w:r>
        <w:rPr>
          <w:rFonts w:hint="eastAsia"/>
          <w:spacing w:val="-11"/>
          <w:sz w:val="24"/>
          <w:szCs w:val="24"/>
          <w:lang w:eastAsia="zh-CN"/>
        </w:rPr>
        <w:t>参照或相当于</w:t>
      </w:r>
      <w:r>
        <w:rPr>
          <w:rFonts w:hint="default"/>
          <w:spacing w:val="-11"/>
          <w:sz w:val="24"/>
          <w:szCs w:val="24"/>
        </w:rPr>
        <w:t>期间，其对设备的任何检验和了解，</w:t>
      </w:r>
      <w:r>
        <w:rPr>
          <w:rFonts w:hint="default"/>
          <w:spacing w:val="-2"/>
          <w:sz w:val="24"/>
          <w:szCs w:val="24"/>
        </w:rPr>
        <w:t>均不能代替设备运抵甲方后，甲方所进行的检验和验收工作，也不能免除甲方对合同所规定承担的一切保证责任和义务。</w:t>
      </w:r>
    </w:p>
    <w:p w14:paraId="7FE620D1">
      <w:pPr>
        <w:pStyle w:val="13"/>
        <w:keepNext/>
        <w:keepLines/>
        <w:numPr>
          <w:ilvl w:val="0"/>
          <w:numId w:val="0"/>
        </w:numPr>
        <w:tabs>
          <w:tab w:val="left" w:pos="1546"/>
        </w:tabs>
        <w:kinsoku w:val="0"/>
        <w:overflowPunct w:val="0"/>
        <w:spacing w:before="4" w:beforeLines="0" w:afterLines="0" w:line="360" w:lineRule="auto"/>
        <w:ind w:left="777" w:right="250" w:firstLine="0"/>
        <w:jc w:val="both"/>
        <w:rPr>
          <w:rFonts w:hint="default"/>
          <w:spacing w:val="-2"/>
          <w:sz w:val="24"/>
          <w:szCs w:val="24"/>
        </w:rPr>
      </w:pPr>
      <w:r>
        <w:rPr>
          <w:rFonts w:hint="default"/>
          <w:spacing w:val="-4"/>
          <w:sz w:val="24"/>
          <w:szCs w:val="24"/>
        </w:rPr>
        <w:t>8.3.5在无载荷/有载荷、单体/联动测试条件下，主要设备功能和技术性</w:t>
      </w:r>
      <w:r>
        <w:rPr>
          <w:rFonts w:hint="default"/>
          <w:spacing w:val="-2"/>
          <w:sz w:val="24"/>
          <w:szCs w:val="24"/>
        </w:rPr>
        <w:t>能应满足设备操作和性能保证的要求。同时要保证功能的可靠性和预定条件下的使用寿命。</w:t>
      </w:r>
    </w:p>
    <w:p w14:paraId="3B5EA061">
      <w:pPr>
        <w:pStyle w:val="13"/>
        <w:keepNext/>
        <w:keepLines/>
        <w:numPr>
          <w:ilvl w:val="0"/>
          <w:numId w:val="0"/>
        </w:numPr>
        <w:tabs>
          <w:tab w:val="left" w:pos="1548"/>
        </w:tabs>
        <w:kinsoku w:val="0"/>
        <w:overflowPunct w:val="0"/>
        <w:spacing w:before="4" w:beforeLines="0" w:afterLines="0" w:line="360" w:lineRule="auto"/>
        <w:ind w:left="777" w:right="250" w:firstLine="0"/>
        <w:jc w:val="both"/>
        <w:rPr>
          <w:rFonts w:hint="default"/>
          <w:spacing w:val="-2"/>
          <w:sz w:val="24"/>
          <w:szCs w:val="24"/>
        </w:rPr>
      </w:pPr>
      <w:r>
        <w:rPr>
          <w:rFonts w:hint="default"/>
          <w:spacing w:val="-13"/>
          <w:sz w:val="24"/>
          <w:szCs w:val="24"/>
        </w:rPr>
        <w:t>8.3.6设备能力、保证值测试应在重载试车期间集中连续进行并全部实现</w:t>
      </w:r>
      <w:r>
        <w:rPr>
          <w:rFonts w:hint="default"/>
          <w:spacing w:val="-2"/>
          <w:sz w:val="24"/>
          <w:szCs w:val="24"/>
        </w:rPr>
        <w:t>甲方提出的各项功能和指标要求，否则甲方有权拒绝验收，并按照商务合同的有关条款对乙方进行罚款或索赔。</w:t>
      </w:r>
    </w:p>
    <w:p w14:paraId="5F585556">
      <w:pPr>
        <w:pStyle w:val="13"/>
        <w:keepNext/>
        <w:keepLines/>
        <w:numPr>
          <w:ilvl w:val="0"/>
          <w:numId w:val="0"/>
        </w:numPr>
        <w:tabs>
          <w:tab w:val="left" w:pos="1548"/>
        </w:tabs>
        <w:kinsoku w:val="0"/>
        <w:overflowPunct w:val="0"/>
        <w:spacing w:before="4" w:beforeLines="0" w:afterLines="0" w:line="360" w:lineRule="auto"/>
        <w:ind w:left="777" w:right="250" w:firstLine="0"/>
        <w:jc w:val="both"/>
        <w:rPr>
          <w:rFonts w:hint="default"/>
          <w:spacing w:val="-2"/>
          <w:sz w:val="24"/>
          <w:szCs w:val="24"/>
        </w:rPr>
      </w:pPr>
      <w:r>
        <w:rPr>
          <w:rFonts w:hint="default"/>
          <w:spacing w:val="-4"/>
          <w:sz w:val="24"/>
          <w:szCs w:val="24"/>
        </w:rPr>
        <w:t>8.3.7在测试过程中，由于乙方原因造成设备的损坏或损伤，由此造成的</w:t>
      </w:r>
      <w:r>
        <w:rPr>
          <w:rFonts w:hint="default"/>
          <w:spacing w:val="-2"/>
          <w:sz w:val="24"/>
          <w:szCs w:val="24"/>
        </w:rPr>
        <w:t>损失将由乙方全部承担。</w:t>
      </w:r>
    </w:p>
    <w:p w14:paraId="09EDE1EB">
      <w:pPr>
        <w:pStyle w:val="13"/>
        <w:keepNext/>
        <w:keepLines/>
        <w:numPr>
          <w:ilvl w:val="0"/>
          <w:numId w:val="0"/>
        </w:numPr>
        <w:tabs>
          <w:tab w:val="left" w:pos="1548"/>
        </w:tabs>
        <w:kinsoku w:val="0"/>
        <w:overflowPunct w:val="0"/>
        <w:spacing w:before="1" w:beforeLines="0" w:afterLines="0" w:line="360" w:lineRule="auto"/>
        <w:ind w:left="777" w:right="250" w:firstLine="0"/>
        <w:jc w:val="both"/>
        <w:rPr>
          <w:rFonts w:hint="default"/>
          <w:spacing w:val="-2"/>
          <w:sz w:val="24"/>
          <w:szCs w:val="24"/>
        </w:rPr>
      </w:pPr>
      <w:r>
        <w:rPr>
          <w:rFonts w:hint="default"/>
          <w:spacing w:val="-4"/>
          <w:sz w:val="24"/>
          <w:szCs w:val="24"/>
        </w:rPr>
        <w:t>8.3.8乙方必须提供各种设备的技术说明、验收方法及程序，经供、需双</w:t>
      </w:r>
      <w:r>
        <w:rPr>
          <w:rFonts w:hint="default"/>
          <w:spacing w:val="-2"/>
          <w:sz w:val="24"/>
          <w:szCs w:val="24"/>
        </w:rPr>
        <w:t>方修改确认后，作为最终验收检测的依据。</w:t>
      </w:r>
    </w:p>
    <w:p w14:paraId="71341B0E">
      <w:pPr>
        <w:pStyle w:val="13"/>
        <w:keepNext/>
        <w:keepLines/>
        <w:numPr>
          <w:ilvl w:val="0"/>
          <w:numId w:val="0"/>
        </w:numPr>
        <w:tabs>
          <w:tab w:val="left" w:pos="1548"/>
        </w:tabs>
        <w:kinsoku w:val="0"/>
        <w:overflowPunct w:val="0"/>
        <w:spacing w:beforeLines="0" w:afterLines="0" w:line="360" w:lineRule="auto"/>
        <w:ind w:left="777" w:right="250" w:firstLine="0"/>
        <w:jc w:val="both"/>
        <w:rPr>
          <w:rFonts w:hint="default"/>
          <w:spacing w:val="-2"/>
          <w:sz w:val="24"/>
          <w:szCs w:val="24"/>
        </w:rPr>
      </w:pPr>
      <w:r>
        <w:rPr>
          <w:rFonts w:hint="default"/>
          <w:spacing w:val="-4"/>
          <w:sz w:val="24"/>
          <w:szCs w:val="24"/>
        </w:rPr>
        <w:t>8.3.9在所有测试、考核结束后，乙方提供测试报告。该测试报告经甲方</w:t>
      </w:r>
      <w:r>
        <w:rPr>
          <w:rFonts w:hint="default"/>
          <w:spacing w:val="-2"/>
          <w:sz w:val="24"/>
          <w:szCs w:val="24"/>
        </w:rPr>
        <w:t>确认并鉴字后有效，它将作为竣工验收的依据存档。</w:t>
      </w:r>
    </w:p>
    <w:p w14:paraId="17BCB841">
      <w:pPr>
        <w:pStyle w:val="13"/>
        <w:keepNext/>
        <w:keepLines/>
        <w:numPr>
          <w:ilvl w:val="0"/>
          <w:numId w:val="0"/>
        </w:numPr>
        <w:tabs>
          <w:tab w:val="left" w:pos="1688"/>
        </w:tabs>
        <w:kinsoku w:val="0"/>
        <w:overflowPunct w:val="0"/>
        <w:spacing w:beforeLines="0" w:afterLines="0" w:line="360" w:lineRule="auto"/>
        <w:ind w:left="777" w:right="252" w:firstLine="0"/>
        <w:jc w:val="both"/>
        <w:rPr>
          <w:rFonts w:hint="default"/>
          <w:spacing w:val="-2"/>
          <w:sz w:val="24"/>
          <w:szCs w:val="24"/>
        </w:rPr>
      </w:pPr>
      <w:r>
        <w:rPr>
          <w:rFonts w:hint="default"/>
          <w:b/>
          <w:w w:val="95"/>
          <w:sz w:val="24"/>
          <w:szCs w:val="24"/>
        </w:rPr>
        <w:t>8.3.10 设备质保期为工程竣工验收合格后 12</w:t>
      </w:r>
      <w:r>
        <w:rPr>
          <w:rFonts w:hint="default"/>
          <w:b/>
          <w:spacing w:val="-30"/>
          <w:w w:val="95"/>
          <w:sz w:val="24"/>
          <w:szCs w:val="24"/>
        </w:rPr>
        <w:t xml:space="preserve"> 个月。</w:t>
      </w:r>
      <w:r>
        <w:rPr>
          <w:rFonts w:hint="default"/>
          <w:w w:val="95"/>
          <w:sz w:val="24"/>
          <w:szCs w:val="24"/>
        </w:rPr>
        <w:t>质保期内如因设备本</w:t>
      </w:r>
      <w:r>
        <w:rPr>
          <w:rFonts w:hint="default"/>
          <w:spacing w:val="-2"/>
          <w:sz w:val="24"/>
          <w:szCs w:val="24"/>
        </w:rPr>
        <w:t>身制造引起的质量问题，发生的费用由乙方承担。</w:t>
      </w:r>
    </w:p>
    <w:p w14:paraId="5938E3B0">
      <w:pPr>
        <w:pStyle w:val="13"/>
        <w:keepNext/>
        <w:keepLines/>
        <w:numPr>
          <w:ilvl w:val="0"/>
          <w:numId w:val="0"/>
        </w:numPr>
        <w:tabs>
          <w:tab w:val="left" w:pos="1688"/>
        </w:tabs>
        <w:kinsoku w:val="0"/>
        <w:overflowPunct w:val="0"/>
        <w:spacing w:before="1" w:beforeLines="0" w:afterLines="0" w:line="360" w:lineRule="auto"/>
        <w:ind w:left="776" w:firstLine="0"/>
        <w:jc w:val="both"/>
        <w:rPr>
          <w:rFonts w:hint="default"/>
          <w:spacing w:val="-3"/>
          <w:sz w:val="24"/>
          <w:szCs w:val="24"/>
        </w:rPr>
      </w:pPr>
      <w:r>
        <w:rPr>
          <w:rFonts w:hint="default"/>
          <w:spacing w:val="-3"/>
          <w:sz w:val="24"/>
          <w:szCs w:val="24"/>
        </w:rPr>
        <w:t>8.3.11安装调试过程中损坏和失效的备件，由乙方提供。</w:t>
      </w:r>
    </w:p>
    <w:p w14:paraId="3D4EE600">
      <w:pPr>
        <w:pStyle w:val="13"/>
        <w:keepNext/>
        <w:keepLines/>
        <w:numPr>
          <w:ilvl w:val="0"/>
          <w:numId w:val="0"/>
        </w:numPr>
        <w:tabs>
          <w:tab w:val="left" w:pos="1690"/>
        </w:tabs>
        <w:kinsoku w:val="0"/>
        <w:overflowPunct w:val="0"/>
        <w:spacing w:before="143" w:beforeLines="0" w:afterLines="0" w:line="360" w:lineRule="auto"/>
        <w:ind w:left="777" w:right="250" w:firstLine="0"/>
        <w:rPr>
          <w:rFonts w:hint="default"/>
          <w:spacing w:val="-2"/>
          <w:sz w:val="24"/>
          <w:szCs w:val="24"/>
        </w:rPr>
      </w:pPr>
      <w:r>
        <w:rPr>
          <w:rFonts w:hint="default"/>
          <w:spacing w:val="-2"/>
          <w:sz w:val="24"/>
          <w:szCs w:val="24"/>
        </w:rPr>
        <w:t>8.3.12乙方应根据所提供设备的特性，提出检验项目、检验方法、检验手段以及检验标准等。</w:t>
      </w:r>
    </w:p>
    <w:p w14:paraId="41079F5F">
      <w:pPr>
        <w:pStyle w:val="13"/>
        <w:keepNext/>
        <w:keepLines/>
        <w:numPr>
          <w:ilvl w:val="0"/>
          <w:numId w:val="0"/>
        </w:numPr>
        <w:tabs>
          <w:tab w:val="left" w:pos="1688"/>
        </w:tabs>
        <w:kinsoku w:val="0"/>
        <w:overflowPunct w:val="0"/>
        <w:spacing w:before="1" w:beforeLines="0" w:afterLines="0" w:line="360" w:lineRule="auto"/>
        <w:ind w:left="777" w:right="112" w:firstLine="0"/>
        <w:rPr>
          <w:rFonts w:hint="default"/>
          <w:spacing w:val="-2"/>
          <w:sz w:val="24"/>
          <w:szCs w:val="24"/>
        </w:rPr>
      </w:pPr>
      <w:r>
        <w:rPr>
          <w:rFonts w:hint="default"/>
          <w:spacing w:val="-10"/>
          <w:sz w:val="24"/>
          <w:szCs w:val="24"/>
        </w:rPr>
        <w:t>8.3.13乙方对产品的质量负全部责任，出厂预验收不能代替最终的验收，</w:t>
      </w:r>
      <w:r>
        <w:rPr>
          <w:rFonts w:hint="default"/>
          <w:spacing w:val="1"/>
          <w:sz w:val="24"/>
          <w:szCs w:val="24"/>
        </w:rPr>
        <w:t>仅作为最终验收的一项依据。其余部件乙方应在标书中说明其质量检验的相</w:t>
      </w:r>
      <w:r>
        <w:rPr>
          <w:rFonts w:hint="default"/>
          <w:spacing w:val="-2"/>
          <w:sz w:val="24"/>
          <w:szCs w:val="24"/>
        </w:rPr>
        <w:t>关标准。</w:t>
      </w:r>
    </w:p>
    <w:p w14:paraId="5F6E7D68">
      <w:pPr>
        <w:pStyle w:val="13"/>
        <w:keepNext/>
        <w:keepLines/>
        <w:numPr>
          <w:ilvl w:val="0"/>
          <w:numId w:val="0"/>
        </w:numPr>
        <w:tabs>
          <w:tab w:val="left" w:pos="1688"/>
        </w:tabs>
        <w:kinsoku w:val="0"/>
        <w:overflowPunct w:val="0"/>
        <w:spacing w:before="4" w:beforeLines="0" w:afterLines="0" w:line="360" w:lineRule="auto"/>
        <w:ind w:left="777" w:right="250" w:firstLine="0"/>
        <w:rPr>
          <w:rFonts w:hint="default"/>
          <w:spacing w:val="-2"/>
          <w:sz w:val="24"/>
          <w:szCs w:val="24"/>
        </w:rPr>
      </w:pPr>
      <w:r>
        <w:rPr>
          <w:rFonts w:hint="default"/>
          <w:spacing w:val="-10"/>
          <w:sz w:val="24"/>
          <w:szCs w:val="24"/>
        </w:rPr>
        <w:t xml:space="preserve">8.3.14投产运行后产品出现质量问题，乙方接到通知后应在 </w:t>
      </w:r>
      <w:r>
        <w:rPr>
          <w:rFonts w:hint="default"/>
          <w:sz w:val="24"/>
          <w:szCs w:val="24"/>
        </w:rPr>
        <w:t>72</w:t>
      </w:r>
      <w:r>
        <w:rPr>
          <w:rFonts w:hint="default"/>
          <w:spacing w:val="-15"/>
          <w:sz w:val="24"/>
          <w:szCs w:val="24"/>
        </w:rPr>
        <w:t xml:space="preserve"> 小时内赶</w:t>
      </w:r>
      <w:r>
        <w:rPr>
          <w:rFonts w:hint="default"/>
          <w:spacing w:val="-2"/>
          <w:sz w:val="24"/>
          <w:szCs w:val="24"/>
        </w:rPr>
        <w:t>到现场解决。</w:t>
      </w:r>
    </w:p>
    <w:p w14:paraId="14A54446">
      <w:pPr>
        <w:pStyle w:val="3"/>
        <w:keepNext/>
        <w:keepLines/>
        <w:numPr>
          <w:ilvl w:val="0"/>
          <w:numId w:val="0"/>
        </w:numPr>
        <w:tabs>
          <w:tab w:val="left" w:pos="747"/>
        </w:tabs>
        <w:kinsoku w:val="0"/>
        <w:overflowPunct w:val="0"/>
        <w:spacing w:before="0" w:beforeLines="0" w:afterLines="0" w:line="360" w:lineRule="auto"/>
        <w:ind w:left="217" w:firstLine="0"/>
        <w:jc w:val="left"/>
        <w:rPr>
          <w:rFonts w:hint="default" w:ascii="Arial" w:cs="Arial"/>
          <w:color w:val="000000"/>
          <w:spacing w:val="-3"/>
          <w:w w:val="95"/>
          <w:sz w:val="24"/>
          <w:szCs w:val="24"/>
        </w:rPr>
      </w:pPr>
      <w:r>
        <w:rPr>
          <w:rFonts w:hint="default"/>
          <w:spacing w:val="-3"/>
          <w:w w:val="95"/>
          <w:sz w:val="24"/>
          <w:szCs w:val="24"/>
        </w:rPr>
        <w:t>8.4竣工验收</w:t>
      </w:r>
    </w:p>
    <w:p w14:paraId="5793F0F0">
      <w:pPr>
        <w:pStyle w:val="13"/>
        <w:keepNext/>
        <w:keepLines/>
        <w:numPr>
          <w:ilvl w:val="0"/>
          <w:numId w:val="0"/>
        </w:numPr>
        <w:tabs>
          <w:tab w:val="left" w:pos="1623"/>
        </w:tabs>
        <w:kinsoku w:val="0"/>
        <w:overflowPunct w:val="0"/>
        <w:spacing w:before="140" w:beforeLines="0" w:afterLines="0" w:line="360" w:lineRule="auto"/>
        <w:ind w:left="776" w:firstLine="0"/>
        <w:rPr>
          <w:rFonts w:hint="default"/>
          <w:spacing w:val="-3"/>
          <w:sz w:val="24"/>
          <w:szCs w:val="24"/>
        </w:rPr>
      </w:pPr>
      <w:r>
        <w:rPr>
          <w:rFonts w:hint="default"/>
          <w:spacing w:val="-3"/>
          <w:sz w:val="24"/>
          <w:szCs w:val="24"/>
        </w:rPr>
        <w:t xml:space="preserve">8.4.1袋式除尘系统带负荷联动试车运行 </w:t>
      </w:r>
      <w:r>
        <w:rPr>
          <w:rFonts w:hint="default"/>
          <w:sz w:val="24"/>
          <w:szCs w:val="24"/>
        </w:rPr>
        <w:t>72h</w:t>
      </w:r>
      <w:r>
        <w:rPr>
          <w:rFonts w:hint="default"/>
          <w:spacing w:val="-7"/>
          <w:sz w:val="24"/>
          <w:szCs w:val="24"/>
        </w:rPr>
        <w:t xml:space="preserve"> 且正常后，办理工程交接</w:t>
      </w:r>
      <w:r>
        <w:rPr>
          <w:rFonts w:hint="default"/>
          <w:spacing w:val="-3"/>
          <w:sz w:val="24"/>
          <w:szCs w:val="24"/>
        </w:rPr>
        <w:t>手续，工程实物交付用户使用。</w:t>
      </w:r>
    </w:p>
    <w:p w14:paraId="443EAC3D">
      <w:pPr>
        <w:pStyle w:val="13"/>
        <w:keepNext/>
        <w:keepLines/>
        <w:numPr>
          <w:ilvl w:val="0"/>
          <w:numId w:val="0"/>
        </w:numPr>
        <w:tabs>
          <w:tab w:val="left" w:pos="1632"/>
        </w:tabs>
        <w:kinsoku w:val="0"/>
        <w:overflowPunct w:val="0"/>
        <w:spacing w:before="141" w:beforeLines="0" w:afterLines="0" w:line="360" w:lineRule="auto"/>
        <w:ind w:left="777" w:right="252" w:firstLine="0"/>
        <w:rPr>
          <w:rFonts w:hint="default"/>
          <w:spacing w:val="-6"/>
          <w:sz w:val="24"/>
          <w:szCs w:val="24"/>
        </w:rPr>
      </w:pPr>
      <w:r>
        <w:rPr>
          <w:rFonts w:hint="default"/>
          <w:spacing w:val="10"/>
          <w:sz w:val="24"/>
          <w:szCs w:val="24"/>
        </w:rPr>
        <w:t>8.4.2袋式除尘工程实物交付使用后应按照相关规定及时组织竣工验</w:t>
      </w:r>
      <w:r>
        <w:rPr>
          <w:rFonts w:hint="default"/>
          <w:spacing w:val="-6"/>
          <w:sz w:val="24"/>
          <w:szCs w:val="24"/>
        </w:rPr>
        <w:t>收。</w:t>
      </w:r>
    </w:p>
    <w:p w14:paraId="6A61F911">
      <w:pPr>
        <w:pStyle w:val="13"/>
        <w:keepNext/>
        <w:keepLines/>
        <w:numPr>
          <w:ilvl w:val="0"/>
          <w:numId w:val="0"/>
        </w:numPr>
        <w:tabs>
          <w:tab w:val="left" w:pos="1618"/>
        </w:tabs>
        <w:kinsoku w:val="0"/>
        <w:overflowPunct w:val="0"/>
        <w:spacing w:beforeLines="0" w:afterLines="0" w:line="360" w:lineRule="auto"/>
        <w:ind w:left="776" w:firstLine="0"/>
        <w:rPr>
          <w:rFonts w:hint="default"/>
          <w:spacing w:val="-3"/>
          <w:sz w:val="24"/>
          <w:szCs w:val="24"/>
        </w:rPr>
      </w:pPr>
      <w:r>
        <w:rPr>
          <w:rFonts w:hint="default"/>
          <w:spacing w:val="-3"/>
          <w:sz w:val="24"/>
          <w:szCs w:val="24"/>
        </w:rPr>
        <w:t>8.4.3袋式除尘工程竣工验收应具备的条件为：</w:t>
      </w:r>
    </w:p>
    <w:p w14:paraId="39DCE9AB">
      <w:pPr>
        <w:pStyle w:val="5"/>
        <w:keepNext/>
        <w:keepLines/>
        <w:kinsoku w:val="0"/>
        <w:overflowPunct w:val="0"/>
        <w:spacing w:before="140" w:beforeLines="0" w:afterLines="0" w:line="360" w:lineRule="auto"/>
        <w:ind w:left="777" w:firstLine="0"/>
        <w:rPr>
          <w:rFonts w:hint="default"/>
          <w:spacing w:val="-7"/>
          <w:sz w:val="24"/>
          <w:szCs w:val="24"/>
        </w:rPr>
      </w:pPr>
      <w:r>
        <w:rPr>
          <w:rFonts w:hint="default"/>
          <w:spacing w:val="-7"/>
          <w:sz w:val="24"/>
          <w:szCs w:val="24"/>
        </w:rPr>
        <w:t>① 袋式除尘系统单机试车和联动试车符合要求；</w:t>
      </w:r>
    </w:p>
    <w:p w14:paraId="196EA21D">
      <w:pPr>
        <w:pStyle w:val="5"/>
        <w:keepNext/>
        <w:keepLines/>
        <w:kinsoku w:val="0"/>
        <w:overflowPunct w:val="0"/>
        <w:spacing w:before="143" w:beforeLines="0" w:afterLines="0" w:line="360" w:lineRule="auto"/>
        <w:ind w:left="777" w:firstLine="0"/>
        <w:rPr>
          <w:rFonts w:hint="default"/>
          <w:spacing w:val="-5"/>
          <w:sz w:val="24"/>
          <w:szCs w:val="24"/>
        </w:rPr>
      </w:pPr>
      <w:r>
        <w:rPr>
          <w:rFonts w:hint="default"/>
          <w:spacing w:val="-5"/>
          <w:sz w:val="24"/>
          <w:szCs w:val="24"/>
        </w:rPr>
        <w:t>② 达到生产使用条件；</w:t>
      </w:r>
    </w:p>
    <w:p w14:paraId="6DDBBD87">
      <w:pPr>
        <w:pStyle w:val="5"/>
        <w:keepNext/>
        <w:keepLines/>
        <w:kinsoku w:val="0"/>
        <w:overflowPunct w:val="0"/>
        <w:spacing w:before="140" w:beforeLines="0" w:afterLines="0" w:line="360" w:lineRule="auto"/>
        <w:ind w:left="777" w:firstLine="0"/>
        <w:rPr>
          <w:rFonts w:hint="default"/>
          <w:spacing w:val="-5"/>
          <w:sz w:val="24"/>
          <w:szCs w:val="24"/>
        </w:rPr>
      </w:pPr>
      <w:r>
        <w:rPr>
          <w:rFonts w:hint="default"/>
          <w:spacing w:val="-5"/>
          <w:sz w:val="24"/>
          <w:szCs w:val="24"/>
        </w:rPr>
        <w:t>③ 已办理工程交接手续；</w:t>
      </w:r>
    </w:p>
    <w:p w14:paraId="1E9EC088">
      <w:pPr>
        <w:pStyle w:val="5"/>
        <w:keepNext/>
        <w:keepLines/>
        <w:kinsoku w:val="0"/>
        <w:overflowPunct w:val="0"/>
        <w:spacing w:before="141" w:beforeLines="0" w:afterLines="0" w:line="360" w:lineRule="auto"/>
        <w:ind w:left="777" w:firstLine="0"/>
        <w:rPr>
          <w:rFonts w:hint="default"/>
          <w:spacing w:val="-7"/>
          <w:sz w:val="24"/>
          <w:szCs w:val="24"/>
        </w:rPr>
      </w:pPr>
      <w:r>
        <w:rPr>
          <w:rFonts w:hint="default"/>
          <w:spacing w:val="-7"/>
          <w:sz w:val="24"/>
          <w:szCs w:val="24"/>
        </w:rPr>
        <w:t>④ 设计文件和合同约定的工程内容已完成；</w:t>
      </w:r>
    </w:p>
    <w:p w14:paraId="0A61C8F5">
      <w:pPr>
        <w:pStyle w:val="5"/>
        <w:keepNext/>
        <w:keepLines/>
        <w:kinsoku w:val="0"/>
        <w:overflowPunct w:val="0"/>
        <w:spacing w:before="143" w:beforeLines="0" w:afterLines="0" w:line="360" w:lineRule="auto"/>
        <w:ind w:right="250"/>
        <w:rPr>
          <w:rFonts w:hint="default"/>
          <w:spacing w:val="-2"/>
          <w:sz w:val="24"/>
          <w:szCs w:val="24"/>
        </w:rPr>
      </w:pPr>
      <w:r>
        <w:rPr>
          <w:rFonts w:hint="default"/>
          <w:spacing w:val="-6"/>
          <w:sz w:val="24"/>
          <w:szCs w:val="24"/>
        </w:rPr>
        <w:t>⑤ 竣工资料完整，包括工程施工技术资料、工程质量检验评定资料、产</w:t>
      </w:r>
      <w:r>
        <w:rPr>
          <w:rFonts w:hint="default"/>
          <w:spacing w:val="-2"/>
          <w:sz w:val="24"/>
          <w:szCs w:val="24"/>
        </w:rPr>
        <w:t>品设备使用及合格资料、除尘器性能检测报告、竣工图。</w:t>
      </w:r>
    </w:p>
    <w:p w14:paraId="19A4C2CC">
      <w:pPr>
        <w:pStyle w:val="5"/>
        <w:keepNext/>
        <w:keepLines/>
        <w:kinsoku w:val="0"/>
        <w:overflowPunct w:val="0"/>
        <w:spacing w:before="1" w:beforeLines="0" w:afterLines="0" w:line="360" w:lineRule="auto"/>
        <w:ind w:left="777" w:firstLine="0"/>
        <w:rPr>
          <w:rFonts w:hint="default"/>
          <w:spacing w:val="-13"/>
          <w:sz w:val="24"/>
          <w:szCs w:val="24"/>
        </w:rPr>
      </w:pPr>
      <w:r>
        <w:rPr>
          <w:rFonts w:hint="default"/>
          <w:spacing w:val="-1"/>
          <w:sz w:val="24"/>
          <w:szCs w:val="24"/>
        </w:rPr>
        <w:t>⑤ 袋式除尘器的性能检测应按</w:t>
      </w:r>
      <w:r>
        <w:rPr>
          <w:rFonts w:hint="default"/>
          <w:sz w:val="24"/>
          <w:szCs w:val="24"/>
        </w:rPr>
        <w:t>GB/T6719</w:t>
      </w:r>
      <w:r>
        <w:rPr>
          <w:rFonts w:hint="default"/>
          <w:spacing w:val="-13"/>
          <w:sz w:val="24"/>
          <w:szCs w:val="24"/>
        </w:rPr>
        <w:t xml:space="preserve"> 的规定执行。</w:t>
      </w:r>
    </w:p>
    <w:p w14:paraId="22396EEE">
      <w:pPr>
        <w:pStyle w:val="5"/>
        <w:keepNext/>
        <w:keepLines/>
        <w:kinsoku w:val="0"/>
        <w:overflowPunct w:val="0"/>
        <w:spacing w:before="143" w:beforeLines="0" w:afterLines="0" w:line="360" w:lineRule="auto"/>
        <w:ind w:left="777" w:firstLine="0"/>
        <w:rPr>
          <w:rFonts w:hint="default"/>
          <w:spacing w:val="-7"/>
          <w:sz w:val="24"/>
          <w:szCs w:val="24"/>
        </w:rPr>
      </w:pPr>
      <w:r>
        <w:rPr>
          <w:rFonts w:hint="default"/>
          <w:spacing w:val="-3"/>
          <w:sz w:val="24"/>
          <w:szCs w:val="24"/>
        </w:rPr>
        <w:t>⑥ 袋式除尘工程竣工验收按照国家和行业相关验收规范或办法执行。</w:t>
      </w:r>
    </w:p>
    <w:p w14:paraId="14FB8CD7">
      <w:pPr>
        <w:pStyle w:val="2"/>
        <w:keepNext/>
        <w:keepLines/>
        <w:numPr>
          <w:ilvl w:val="0"/>
          <w:numId w:val="0"/>
        </w:numPr>
        <w:tabs>
          <w:tab w:val="left" w:pos="540"/>
        </w:tabs>
        <w:kinsoku w:val="0"/>
        <w:overflowPunct w:val="0"/>
        <w:spacing w:before="100" w:beforeLines="0" w:afterLines="0" w:line="360" w:lineRule="auto"/>
        <w:ind w:left="218" w:firstLine="0"/>
        <w:jc w:val="both"/>
        <w:rPr>
          <w:rFonts w:hint="default"/>
          <w:spacing w:val="-1"/>
          <w:w w:val="95"/>
          <w:sz w:val="24"/>
          <w:szCs w:val="24"/>
        </w:rPr>
      </w:pPr>
      <w:r>
        <w:rPr>
          <w:rFonts w:hint="default"/>
          <w:spacing w:val="-1"/>
          <w:w w:val="95"/>
          <w:sz w:val="24"/>
          <w:szCs w:val="24"/>
        </w:rPr>
        <w:t>9 双方的工作范围及资料交付要求</w:t>
      </w:r>
    </w:p>
    <w:p w14:paraId="26E684DB">
      <w:pPr>
        <w:pStyle w:val="3"/>
        <w:keepNext/>
        <w:keepLines/>
        <w:numPr>
          <w:ilvl w:val="0"/>
          <w:numId w:val="0"/>
        </w:numPr>
        <w:tabs>
          <w:tab w:val="left" w:pos="747"/>
        </w:tabs>
        <w:kinsoku w:val="0"/>
        <w:overflowPunct w:val="0"/>
        <w:spacing w:before="129" w:beforeLines="0" w:afterLines="0" w:line="360" w:lineRule="auto"/>
        <w:ind w:left="217" w:firstLine="0"/>
        <w:rPr>
          <w:rFonts w:hint="default" w:ascii="Arial" w:cs="Arial"/>
          <w:color w:val="000000"/>
          <w:spacing w:val="-2"/>
          <w:w w:val="95"/>
          <w:sz w:val="24"/>
          <w:szCs w:val="24"/>
        </w:rPr>
      </w:pPr>
      <w:bookmarkStart w:id="51" w:name="_bookmark32"/>
      <w:bookmarkEnd w:id="51"/>
      <w:bookmarkStart w:id="52" w:name="8.1 需方工作范围"/>
      <w:bookmarkEnd w:id="52"/>
      <w:r>
        <w:rPr>
          <w:rFonts w:hint="default"/>
          <w:spacing w:val="-2"/>
          <w:w w:val="95"/>
          <w:sz w:val="24"/>
          <w:szCs w:val="24"/>
        </w:rPr>
        <w:t>9.1 甲方工作范围</w:t>
      </w:r>
    </w:p>
    <w:p w14:paraId="094C8270">
      <w:pPr>
        <w:pStyle w:val="13"/>
        <w:keepNext/>
        <w:keepLines/>
        <w:numPr>
          <w:ilvl w:val="0"/>
          <w:numId w:val="0"/>
        </w:numPr>
        <w:tabs>
          <w:tab w:val="left" w:pos="1548"/>
        </w:tabs>
        <w:kinsoku w:val="0"/>
        <w:overflowPunct w:val="0"/>
        <w:spacing w:before="143" w:beforeLines="0" w:afterLines="0" w:line="360" w:lineRule="auto"/>
        <w:ind w:left="777" w:firstLine="0"/>
        <w:jc w:val="both"/>
        <w:rPr>
          <w:rFonts w:hint="default"/>
          <w:spacing w:val="-3"/>
          <w:sz w:val="24"/>
          <w:szCs w:val="24"/>
        </w:rPr>
      </w:pPr>
      <w:r>
        <w:rPr>
          <w:rFonts w:hint="default"/>
          <w:spacing w:val="-3"/>
          <w:sz w:val="24"/>
          <w:szCs w:val="24"/>
        </w:rPr>
        <w:t>9.1.1为乙方提供设备的基本参数及订货图。</w:t>
      </w:r>
    </w:p>
    <w:p w14:paraId="2645A1E8">
      <w:pPr>
        <w:pStyle w:val="13"/>
        <w:keepNext/>
        <w:keepLines/>
        <w:numPr>
          <w:ilvl w:val="0"/>
          <w:numId w:val="0"/>
        </w:numPr>
        <w:tabs>
          <w:tab w:val="left" w:pos="1548"/>
        </w:tabs>
        <w:kinsoku w:val="0"/>
        <w:overflowPunct w:val="0"/>
        <w:spacing w:before="141" w:beforeLines="0" w:afterLines="0" w:line="360" w:lineRule="auto"/>
        <w:ind w:left="777" w:right="250" w:firstLine="0"/>
        <w:jc w:val="both"/>
        <w:rPr>
          <w:rFonts w:hint="default"/>
          <w:spacing w:val="-2"/>
          <w:sz w:val="24"/>
          <w:szCs w:val="24"/>
        </w:rPr>
      </w:pPr>
      <w:r>
        <w:rPr>
          <w:rFonts w:hint="default"/>
          <w:spacing w:val="-4"/>
          <w:sz w:val="24"/>
          <w:szCs w:val="24"/>
        </w:rPr>
        <w:t>9.1.2合同签订后，甲方有权提出因标准、规程、规范发生变化而产生的</w:t>
      </w:r>
      <w:r>
        <w:rPr>
          <w:rFonts w:hint="default"/>
          <w:spacing w:val="-2"/>
          <w:sz w:val="24"/>
          <w:szCs w:val="24"/>
        </w:rPr>
        <w:t>修订要求，或者由于工艺的变化，甲方也可向乙方提出有关设备参数进行修改的要求。</w:t>
      </w:r>
    </w:p>
    <w:p w14:paraId="4A58131A">
      <w:pPr>
        <w:pStyle w:val="13"/>
        <w:keepNext/>
        <w:keepLines/>
        <w:numPr>
          <w:ilvl w:val="0"/>
          <w:numId w:val="0"/>
        </w:numPr>
        <w:tabs>
          <w:tab w:val="left" w:pos="1623"/>
        </w:tabs>
        <w:kinsoku w:val="0"/>
        <w:overflowPunct w:val="0"/>
        <w:spacing w:before="140" w:beforeLines="0" w:afterLines="0" w:line="360" w:lineRule="auto"/>
        <w:ind w:left="0" w:firstLine="702" w:firstLineChars="300"/>
        <w:rPr>
          <w:rFonts w:hint="default"/>
          <w:spacing w:val="-3"/>
          <w:sz w:val="24"/>
          <w:szCs w:val="24"/>
        </w:rPr>
      </w:pPr>
      <w:r>
        <w:rPr>
          <w:rFonts w:hint="default"/>
          <w:spacing w:val="-3"/>
          <w:sz w:val="24"/>
          <w:szCs w:val="24"/>
        </w:rPr>
        <w:t>9.1.3对乙方的设备进行出厂前的检验。</w:t>
      </w:r>
    </w:p>
    <w:p w14:paraId="0E9D8699">
      <w:pPr>
        <w:pStyle w:val="3"/>
        <w:keepNext/>
        <w:keepLines/>
        <w:numPr>
          <w:ilvl w:val="0"/>
          <w:numId w:val="0"/>
        </w:numPr>
        <w:tabs>
          <w:tab w:val="left" w:pos="747"/>
        </w:tabs>
        <w:kinsoku w:val="0"/>
        <w:overflowPunct w:val="0"/>
        <w:spacing w:before="140" w:beforeLines="0" w:afterLines="0" w:line="360" w:lineRule="auto"/>
        <w:ind w:left="217" w:firstLine="0"/>
        <w:rPr>
          <w:rFonts w:hint="default" w:ascii="Arial" w:cs="Arial"/>
          <w:color w:val="000000"/>
          <w:spacing w:val="-2"/>
          <w:w w:val="95"/>
          <w:sz w:val="24"/>
          <w:szCs w:val="24"/>
        </w:rPr>
      </w:pPr>
      <w:r>
        <w:rPr>
          <w:rFonts w:hint="default"/>
          <w:spacing w:val="-2"/>
          <w:w w:val="95"/>
          <w:sz w:val="24"/>
          <w:szCs w:val="24"/>
        </w:rPr>
        <w:t>9.2乙方工作范围</w:t>
      </w:r>
    </w:p>
    <w:p w14:paraId="7D1DD59E">
      <w:pPr>
        <w:pStyle w:val="13"/>
        <w:keepNext/>
        <w:keepLines/>
        <w:numPr>
          <w:ilvl w:val="0"/>
          <w:numId w:val="0"/>
        </w:numPr>
        <w:tabs>
          <w:tab w:val="left" w:pos="1548"/>
        </w:tabs>
        <w:kinsoku w:val="0"/>
        <w:overflowPunct w:val="0"/>
        <w:spacing w:before="143" w:beforeLines="0" w:afterLines="0" w:line="360" w:lineRule="auto"/>
        <w:ind w:left="777" w:right="250" w:firstLine="0"/>
        <w:jc w:val="both"/>
        <w:rPr>
          <w:rFonts w:hint="default"/>
          <w:spacing w:val="-2"/>
          <w:sz w:val="24"/>
          <w:szCs w:val="24"/>
        </w:rPr>
      </w:pPr>
      <w:r>
        <w:rPr>
          <w:rFonts w:hint="default"/>
          <w:spacing w:val="-9"/>
          <w:sz w:val="24"/>
          <w:szCs w:val="24"/>
        </w:rPr>
        <w:t>9.2.1乙方需根据甲方提供的设备参数、设计制造要求进行设备的详细设</w:t>
      </w:r>
      <w:r>
        <w:rPr>
          <w:rFonts w:hint="default"/>
          <w:spacing w:val="-2"/>
          <w:sz w:val="24"/>
          <w:szCs w:val="24"/>
        </w:rPr>
        <w:t>计、制造和安装。设备的制造包括：设备的制作、油漆、材料试验和工作试验、组装及厂内试运转，检验、包装、交货、安装、试车、交工和验收等。</w:t>
      </w:r>
    </w:p>
    <w:p w14:paraId="1C45FB48">
      <w:pPr>
        <w:pStyle w:val="13"/>
        <w:keepNext/>
        <w:keepLines/>
        <w:numPr>
          <w:ilvl w:val="0"/>
          <w:numId w:val="0"/>
        </w:numPr>
        <w:tabs>
          <w:tab w:val="left" w:pos="1548"/>
        </w:tabs>
        <w:kinsoku w:val="0"/>
        <w:overflowPunct w:val="0"/>
        <w:spacing w:before="4" w:beforeLines="0" w:afterLines="0" w:line="360" w:lineRule="auto"/>
        <w:ind w:left="777" w:right="250" w:firstLine="0"/>
        <w:jc w:val="both"/>
        <w:rPr>
          <w:rFonts w:hint="default"/>
          <w:spacing w:val="-2"/>
          <w:sz w:val="24"/>
          <w:szCs w:val="24"/>
        </w:rPr>
      </w:pPr>
      <w:r>
        <w:rPr>
          <w:rFonts w:hint="default"/>
          <w:spacing w:val="-7"/>
          <w:sz w:val="24"/>
          <w:szCs w:val="24"/>
        </w:rPr>
        <w:t>9.2.2乙方提供的设备应完全符合本技术规范的要求。并对所供设备的完</w:t>
      </w:r>
      <w:r>
        <w:rPr>
          <w:rFonts w:hint="default"/>
          <w:spacing w:val="-2"/>
          <w:sz w:val="24"/>
          <w:szCs w:val="24"/>
        </w:rPr>
        <w:t>整性、安全性、可靠性负责。</w:t>
      </w:r>
    </w:p>
    <w:p w14:paraId="12C29FF6">
      <w:pPr>
        <w:pStyle w:val="13"/>
        <w:keepNext/>
        <w:keepLines/>
        <w:numPr>
          <w:ilvl w:val="0"/>
          <w:numId w:val="0"/>
        </w:numPr>
        <w:tabs>
          <w:tab w:val="left" w:pos="1548"/>
        </w:tabs>
        <w:kinsoku w:val="0"/>
        <w:overflowPunct w:val="0"/>
        <w:spacing w:before="1" w:beforeLines="0" w:afterLines="0" w:line="360" w:lineRule="auto"/>
        <w:ind w:left="777" w:firstLine="0"/>
        <w:jc w:val="both"/>
        <w:rPr>
          <w:rFonts w:hint="default"/>
          <w:spacing w:val="-3"/>
          <w:sz w:val="24"/>
          <w:szCs w:val="24"/>
        </w:rPr>
      </w:pPr>
      <w:r>
        <w:rPr>
          <w:rFonts w:hint="default"/>
          <w:spacing w:val="-3"/>
          <w:sz w:val="24"/>
          <w:szCs w:val="24"/>
        </w:rPr>
        <w:t>9.2.3中标后，如甲方提出修改要求，乙方需配合甲方进行设备的更改。</w:t>
      </w:r>
    </w:p>
    <w:p w14:paraId="537FA80A">
      <w:pPr>
        <w:pStyle w:val="13"/>
        <w:keepNext/>
        <w:keepLines/>
        <w:numPr>
          <w:ilvl w:val="0"/>
          <w:numId w:val="0"/>
        </w:numPr>
        <w:tabs>
          <w:tab w:val="left" w:pos="1548"/>
        </w:tabs>
        <w:kinsoku w:val="0"/>
        <w:overflowPunct w:val="0"/>
        <w:spacing w:before="143" w:beforeLines="0" w:afterLines="0" w:line="360" w:lineRule="auto"/>
        <w:ind w:left="777" w:right="250" w:firstLine="0"/>
        <w:jc w:val="both"/>
        <w:rPr>
          <w:rFonts w:hint="default"/>
          <w:spacing w:val="-4"/>
          <w:sz w:val="24"/>
          <w:szCs w:val="24"/>
        </w:rPr>
      </w:pPr>
      <w:r>
        <w:rPr>
          <w:rFonts w:hint="default"/>
          <w:spacing w:val="-10"/>
          <w:sz w:val="24"/>
          <w:szCs w:val="24"/>
        </w:rPr>
        <w:t>9.2.4在设备具备发货的条件时，可向甲方发出邀请对设备进行出厂前的</w:t>
      </w:r>
      <w:r>
        <w:rPr>
          <w:rFonts w:hint="default"/>
          <w:spacing w:val="-4"/>
          <w:sz w:val="24"/>
          <w:szCs w:val="24"/>
        </w:rPr>
        <w:t>检验。</w:t>
      </w:r>
    </w:p>
    <w:p w14:paraId="7BE29C41">
      <w:pPr>
        <w:pStyle w:val="13"/>
        <w:keepNext/>
        <w:keepLines/>
        <w:numPr>
          <w:ilvl w:val="0"/>
          <w:numId w:val="0"/>
        </w:numPr>
        <w:tabs>
          <w:tab w:val="left" w:pos="1548"/>
        </w:tabs>
        <w:kinsoku w:val="0"/>
        <w:overflowPunct w:val="0"/>
        <w:spacing w:before="1" w:beforeLines="0" w:afterLines="0" w:line="360" w:lineRule="auto"/>
        <w:ind w:left="777" w:firstLine="0"/>
        <w:jc w:val="both"/>
        <w:rPr>
          <w:rFonts w:hint="default"/>
          <w:spacing w:val="-7"/>
          <w:sz w:val="24"/>
          <w:szCs w:val="24"/>
        </w:rPr>
      </w:pPr>
      <w:r>
        <w:rPr>
          <w:rFonts w:hint="default"/>
          <w:spacing w:val="-7"/>
          <w:sz w:val="24"/>
          <w:szCs w:val="24"/>
        </w:rPr>
        <w:t>9.2.5乙方需向甲方及业主方提供优质、完善的售后服务，包括：对业主</w:t>
      </w:r>
    </w:p>
    <w:p w14:paraId="66EA724A">
      <w:pPr>
        <w:pStyle w:val="5"/>
        <w:keepNext/>
        <w:keepLines/>
        <w:kinsoku w:val="0"/>
        <w:overflowPunct w:val="0"/>
        <w:spacing w:before="130" w:beforeLines="0" w:afterLines="0" w:line="360" w:lineRule="auto"/>
        <w:ind w:firstLine="0"/>
        <w:rPr>
          <w:rFonts w:hint="default"/>
          <w:spacing w:val="-3"/>
          <w:sz w:val="24"/>
          <w:szCs w:val="24"/>
        </w:rPr>
      </w:pPr>
      <w:r>
        <w:rPr>
          <w:rFonts w:hint="default"/>
          <w:spacing w:val="-3"/>
          <w:sz w:val="24"/>
          <w:szCs w:val="24"/>
        </w:rPr>
        <w:t>方人员的培训、现场对设备安装的服务及调试等。</w:t>
      </w:r>
    </w:p>
    <w:p w14:paraId="356483AB">
      <w:pPr>
        <w:pStyle w:val="13"/>
        <w:keepNext/>
        <w:keepLines/>
        <w:numPr>
          <w:ilvl w:val="0"/>
          <w:numId w:val="0"/>
        </w:numPr>
        <w:tabs>
          <w:tab w:val="left" w:pos="1548"/>
        </w:tabs>
        <w:kinsoku w:val="0"/>
        <w:overflowPunct w:val="0"/>
        <w:spacing w:before="141" w:beforeLines="0" w:afterLines="0" w:line="360" w:lineRule="auto"/>
        <w:ind w:left="777" w:right="250" w:firstLine="0"/>
        <w:rPr>
          <w:rFonts w:hint="default"/>
          <w:spacing w:val="-2"/>
          <w:sz w:val="24"/>
          <w:szCs w:val="24"/>
        </w:rPr>
      </w:pPr>
      <w:r>
        <w:rPr>
          <w:rFonts w:hint="default"/>
          <w:spacing w:val="-4"/>
          <w:sz w:val="24"/>
          <w:szCs w:val="24"/>
        </w:rPr>
        <w:t>9.2.6乙方负责业主方人员的培训工作，为业主提供人员培训的场所，培</w:t>
      </w:r>
      <w:r>
        <w:rPr>
          <w:rFonts w:hint="default"/>
          <w:spacing w:val="-2"/>
          <w:sz w:val="24"/>
          <w:szCs w:val="24"/>
        </w:rPr>
        <w:t>训过程中发生的人员食宿和交通费用由乙方承担。</w:t>
      </w:r>
    </w:p>
    <w:p w14:paraId="7AFB9E61">
      <w:pPr>
        <w:pStyle w:val="3"/>
        <w:keepNext/>
        <w:keepLines/>
        <w:numPr>
          <w:ilvl w:val="0"/>
          <w:numId w:val="0"/>
        </w:numPr>
        <w:tabs>
          <w:tab w:val="left" w:pos="747"/>
        </w:tabs>
        <w:kinsoku w:val="0"/>
        <w:overflowPunct w:val="0"/>
        <w:spacing w:before="0" w:beforeLines="0" w:afterLines="0" w:line="360" w:lineRule="auto"/>
        <w:ind w:left="217" w:firstLine="0"/>
        <w:jc w:val="left"/>
        <w:rPr>
          <w:rFonts w:hint="default" w:ascii="Arial" w:cs="Arial"/>
          <w:color w:val="000000"/>
          <w:spacing w:val="-2"/>
          <w:w w:val="95"/>
          <w:sz w:val="24"/>
          <w:szCs w:val="24"/>
        </w:rPr>
      </w:pPr>
      <w:r>
        <w:rPr>
          <w:rFonts w:hint="default"/>
          <w:spacing w:val="-2"/>
          <w:w w:val="95"/>
          <w:sz w:val="24"/>
          <w:szCs w:val="24"/>
        </w:rPr>
        <w:t>10资料交付要求</w:t>
      </w:r>
    </w:p>
    <w:p w14:paraId="2AB865E3">
      <w:pPr>
        <w:pStyle w:val="13"/>
        <w:keepNext/>
        <w:keepLines/>
        <w:numPr>
          <w:ilvl w:val="0"/>
          <w:numId w:val="0"/>
        </w:numPr>
        <w:tabs>
          <w:tab w:val="left" w:pos="1548"/>
        </w:tabs>
        <w:kinsoku w:val="0"/>
        <w:overflowPunct w:val="0"/>
        <w:spacing w:before="140" w:beforeLines="0" w:afterLines="0" w:line="360" w:lineRule="auto"/>
        <w:ind w:left="777" w:firstLine="0"/>
        <w:rPr>
          <w:rFonts w:hint="default"/>
          <w:spacing w:val="-3"/>
          <w:sz w:val="24"/>
          <w:szCs w:val="24"/>
        </w:rPr>
      </w:pPr>
      <w:r>
        <w:rPr>
          <w:rFonts w:hint="default"/>
          <w:spacing w:val="-3"/>
          <w:sz w:val="24"/>
          <w:szCs w:val="24"/>
        </w:rPr>
        <w:t>10.1.1中标后，甲方需向乙方提供设备的基本参数和订货图。</w:t>
      </w:r>
    </w:p>
    <w:p w14:paraId="7A9D4563">
      <w:pPr>
        <w:pStyle w:val="13"/>
        <w:keepNext/>
        <w:keepLines/>
        <w:numPr>
          <w:ilvl w:val="0"/>
          <w:numId w:val="0"/>
        </w:numPr>
        <w:tabs>
          <w:tab w:val="left" w:pos="1548"/>
        </w:tabs>
        <w:kinsoku w:val="0"/>
        <w:overflowPunct w:val="0"/>
        <w:spacing w:before="143" w:beforeLines="0" w:afterLines="0" w:line="360" w:lineRule="auto"/>
        <w:ind w:left="777" w:right="112" w:firstLine="0"/>
        <w:rPr>
          <w:rFonts w:hint="default"/>
          <w:spacing w:val="-2"/>
          <w:sz w:val="24"/>
          <w:szCs w:val="24"/>
        </w:rPr>
      </w:pPr>
      <w:r>
        <w:rPr>
          <w:rFonts w:hint="default"/>
          <w:spacing w:val="-18"/>
          <w:sz w:val="24"/>
          <w:szCs w:val="24"/>
        </w:rPr>
        <w:t xml:space="preserve">10.1.2中标后 </w:t>
      </w:r>
      <w:r>
        <w:rPr>
          <w:rFonts w:hint="default"/>
          <w:sz w:val="24"/>
          <w:szCs w:val="24"/>
        </w:rPr>
        <w:t>10</w:t>
      </w:r>
      <w:r>
        <w:rPr>
          <w:rFonts w:hint="default"/>
          <w:spacing w:val="-18"/>
          <w:sz w:val="24"/>
          <w:szCs w:val="24"/>
        </w:rPr>
        <w:t xml:space="preserve"> 个工作日，乙方需向甲方提供 </w:t>
      </w:r>
      <w:r>
        <w:rPr>
          <w:rFonts w:hint="default"/>
          <w:sz w:val="24"/>
          <w:szCs w:val="24"/>
        </w:rPr>
        <w:t>3</w:t>
      </w:r>
      <w:r>
        <w:rPr>
          <w:rFonts w:hint="default"/>
          <w:spacing w:val="-9"/>
          <w:sz w:val="24"/>
          <w:szCs w:val="24"/>
        </w:rPr>
        <w:t xml:space="preserve"> 套设计配合所需的资料，</w:t>
      </w:r>
      <w:r>
        <w:rPr>
          <w:rFonts w:hint="default"/>
          <w:spacing w:val="-2"/>
          <w:sz w:val="24"/>
          <w:szCs w:val="24"/>
        </w:rPr>
        <w:t>在提供纸质盖章资料的同时提供电子版资料。</w:t>
      </w:r>
    </w:p>
    <w:p w14:paraId="16F26B88">
      <w:pPr>
        <w:pStyle w:val="5"/>
        <w:keepNext/>
        <w:keepLines/>
        <w:kinsoku w:val="0"/>
        <w:overflowPunct w:val="0"/>
        <w:spacing w:before="1" w:beforeLines="0" w:afterLines="0" w:line="360" w:lineRule="auto"/>
        <w:ind w:right="251"/>
        <w:jc w:val="both"/>
        <w:rPr>
          <w:rFonts w:hint="default"/>
          <w:sz w:val="24"/>
          <w:szCs w:val="24"/>
          <w:highlight w:val="cyan"/>
        </w:rPr>
      </w:pPr>
      <w:r>
        <w:rPr>
          <w:rFonts w:hint="default"/>
          <w:spacing w:val="-2"/>
          <w:sz w:val="24"/>
          <w:szCs w:val="24"/>
        </w:rPr>
        <w:t xml:space="preserve">电子版资料的要求为：文本资料要求采用 </w:t>
      </w:r>
      <w:r>
        <w:rPr>
          <w:rFonts w:hint="default"/>
          <w:sz w:val="24"/>
          <w:szCs w:val="24"/>
        </w:rPr>
        <w:t>Microsoft</w:t>
      </w:r>
      <w:r>
        <w:rPr>
          <w:rFonts w:hint="default"/>
          <w:spacing w:val="-16"/>
          <w:sz w:val="24"/>
          <w:szCs w:val="24"/>
        </w:rPr>
        <w:t xml:space="preserve"> </w:t>
      </w:r>
      <w:r>
        <w:rPr>
          <w:rFonts w:hint="default"/>
          <w:sz w:val="24"/>
          <w:szCs w:val="24"/>
        </w:rPr>
        <w:t>Office</w:t>
      </w:r>
      <w:r>
        <w:rPr>
          <w:rFonts w:hint="default"/>
          <w:spacing w:val="27"/>
          <w:sz w:val="24"/>
          <w:szCs w:val="24"/>
        </w:rPr>
        <w:t xml:space="preserve"> </w:t>
      </w:r>
      <w:r>
        <w:rPr>
          <w:rFonts w:hint="default"/>
          <w:sz w:val="24"/>
          <w:szCs w:val="24"/>
        </w:rPr>
        <w:t>Word</w:t>
      </w:r>
      <w:r>
        <w:rPr>
          <w:rFonts w:hint="default"/>
          <w:spacing w:val="-12"/>
          <w:sz w:val="24"/>
          <w:szCs w:val="24"/>
        </w:rPr>
        <w:t xml:space="preserve"> 文档</w:t>
      </w:r>
      <w:r>
        <w:rPr>
          <w:rFonts w:hint="default"/>
          <w:w w:val="95"/>
          <w:sz w:val="24"/>
          <w:szCs w:val="24"/>
        </w:rPr>
        <w:t>格式，版本不高</w:t>
      </w:r>
      <w:r>
        <w:rPr>
          <w:rFonts w:hint="default"/>
          <w:spacing w:val="-6"/>
          <w:w w:val="95"/>
          <w:sz w:val="24"/>
          <w:szCs w:val="24"/>
        </w:rPr>
        <w:t xml:space="preserve">于 </w:t>
      </w:r>
      <w:r>
        <w:rPr>
          <w:rFonts w:hint="default"/>
          <w:w w:val="95"/>
          <w:sz w:val="24"/>
          <w:szCs w:val="24"/>
        </w:rPr>
        <w:t>Word2007</w:t>
      </w:r>
      <w:r>
        <w:rPr>
          <w:rFonts w:hint="default"/>
          <w:spacing w:val="-3"/>
          <w:w w:val="95"/>
          <w:sz w:val="24"/>
          <w:szCs w:val="24"/>
        </w:rPr>
        <w:t xml:space="preserve"> 版；图纸</w:t>
      </w:r>
      <w:r>
        <w:rPr>
          <w:rFonts w:hint="default"/>
          <w:w w:val="95"/>
          <w:sz w:val="24"/>
          <w:szCs w:val="24"/>
        </w:rPr>
        <w:t>资料</w:t>
      </w:r>
      <w:r>
        <w:rPr>
          <w:rFonts w:hint="default"/>
          <w:spacing w:val="-4"/>
          <w:w w:val="95"/>
          <w:sz w:val="24"/>
          <w:szCs w:val="24"/>
        </w:rPr>
        <w:t xml:space="preserve">采用 </w:t>
      </w:r>
      <w:r>
        <w:rPr>
          <w:rFonts w:hint="default"/>
          <w:w w:val="95"/>
          <w:sz w:val="24"/>
          <w:szCs w:val="24"/>
        </w:rPr>
        <w:t>AutoCAD</w:t>
      </w:r>
      <w:r>
        <w:rPr>
          <w:rFonts w:hint="default"/>
          <w:spacing w:val="67"/>
          <w:w w:val="95"/>
          <w:sz w:val="24"/>
          <w:szCs w:val="24"/>
        </w:rPr>
        <w:t xml:space="preserve"> 的</w:t>
      </w:r>
      <w:r>
        <w:rPr>
          <w:rFonts w:hint="default"/>
          <w:w w:val="95"/>
          <w:sz w:val="24"/>
          <w:szCs w:val="24"/>
        </w:rPr>
        <w:t>dwg</w:t>
      </w:r>
      <w:r>
        <w:rPr>
          <w:rFonts w:hint="default"/>
          <w:spacing w:val="-3"/>
          <w:w w:val="95"/>
          <w:sz w:val="24"/>
          <w:szCs w:val="24"/>
        </w:rPr>
        <w:t xml:space="preserve"> 格式，版本不</w:t>
      </w:r>
      <w:r>
        <w:rPr>
          <w:rFonts w:hint="default"/>
          <w:spacing w:val="33"/>
          <w:w w:val="95"/>
          <w:sz w:val="24"/>
          <w:szCs w:val="24"/>
        </w:rPr>
        <w:t>高于</w:t>
      </w:r>
      <w:r>
        <w:rPr>
          <w:rFonts w:hint="default"/>
          <w:w w:val="95"/>
          <w:sz w:val="24"/>
          <w:szCs w:val="24"/>
        </w:rPr>
        <w:t>AutoCAD 2017</w:t>
      </w:r>
      <w:r>
        <w:rPr>
          <w:rFonts w:hint="default"/>
          <w:spacing w:val="-25"/>
          <w:w w:val="95"/>
          <w:sz w:val="24"/>
          <w:szCs w:val="24"/>
        </w:rPr>
        <w:t xml:space="preserve"> 版，若从</w:t>
      </w:r>
      <w:r>
        <w:rPr>
          <w:rFonts w:hint="default"/>
          <w:w w:val="95"/>
          <w:sz w:val="24"/>
          <w:szCs w:val="24"/>
        </w:rPr>
        <w:t>其它绘图软件转换</w:t>
      </w:r>
      <w:r>
        <w:rPr>
          <w:rFonts w:hint="default"/>
          <w:spacing w:val="-24"/>
          <w:w w:val="95"/>
          <w:sz w:val="24"/>
          <w:szCs w:val="24"/>
        </w:rPr>
        <w:t>而来，要求</w:t>
      </w:r>
      <w:r>
        <w:rPr>
          <w:rFonts w:hint="default"/>
          <w:w w:val="95"/>
          <w:sz w:val="24"/>
          <w:szCs w:val="24"/>
        </w:rPr>
        <w:t>转换为 AutoCAD 2017</w:t>
      </w:r>
      <w:r>
        <w:rPr>
          <w:rFonts w:hint="default"/>
          <w:spacing w:val="-6"/>
          <w:sz w:val="24"/>
          <w:szCs w:val="24"/>
        </w:rPr>
        <w:t>版。</w:t>
      </w:r>
    </w:p>
    <w:p w14:paraId="114128B2">
      <w:pPr>
        <w:pStyle w:val="13"/>
        <w:keepNext/>
        <w:keepLines/>
        <w:numPr>
          <w:ilvl w:val="0"/>
          <w:numId w:val="0"/>
        </w:numPr>
        <w:tabs>
          <w:tab w:val="left" w:pos="1548"/>
        </w:tabs>
        <w:kinsoku w:val="0"/>
        <w:overflowPunct w:val="0"/>
        <w:spacing w:beforeLines="0" w:afterLines="0" w:line="360" w:lineRule="auto"/>
        <w:ind w:left="777" w:right="250" w:firstLine="0"/>
        <w:rPr>
          <w:rFonts w:hint="default"/>
          <w:spacing w:val="-2"/>
          <w:sz w:val="24"/>
          <w:szCs w:val="24"/>
        </w:rPr>
      </w:pPr>
      <w:r>
        <w:rPr>
          <w:rFonts w:hint="default"/>
          <w:spacing w:val="-12"/>
          <w:sz w:val="24"/>
          <w:szCs w:val="24"/>
        </w:rPr>
        <w:t>10.1.3设备制造进行审查时，乙方需向甲方提供设备在现场调试时所需的</w:t>
      </w:r>
      <w:r>
        <w:rPr>
          <w:rFonts w:hint="default"/>
          <w:spacing w:val="-2"/>
          <w:sz w:val="24"/>
          <w:szCs w:val="24"/>
        </w:rPr>
        <w:t>能源介质目录及用量。</w:t>
      </w:r>
    </w:p>
    <w:p w14:paraId="7AC5EF38">
      <w:pPr>
        <w:pStyle w:val="13"/>
        <w:keepNext/>
        <w:keepLines/>
        <w:numPr>
          <w:ilvl w:val="0"/>
          <w:numId w:val="0"/>
        </w:numPr>
        <w:tabs>
          <w:tab w:val="left" w:pos="1548"/>
        </w:tabs>
        <w:kinsoku w:val="0"/>
        <w:overflowPunct w:val="0"/>
        <w:spacing w:before="4" w:beforeLines="0" w:afterLines="0" w:line="360" w:lineRule="auto"/>
        <w:ind w:left="777" w:right="112" w:firstLine="0"/>
        <w:rPr>
          <w:rFonts w:hint="default"/>
          <w:spacing w:val="-2"/>
          <w:sz w:val="24"/>
          <w:szCs w:val="24"/>
        </w:rPr>
      </w:pPr>
      <w:r>
        <w:rPr>
          <w:rFonts w:hint="default"/>
          <w:spacing w:val="-12"/>
          <w:sz w:val="24"/>
          <w:szCs w:val="24"/>
        </w:rPr>
        <w:t>10.1.4设备出厂前一个月，提供设备检验大纲和产品质量文件(包括材质，</w:t>
      </w:r>
      <w:r>
        <w:rPr>
          <w:rFonts w:hint="default"/>
          <w:spacing w:val="-2"/>
          <w:sz w:val="24"/>
          <w:szCs w:val="24"/>
        </w:rPr>
        <w:t>材质检验，焊接，热处理，加工质量，外形尺寸和性能检验等证明)。</w:t>
      </w:r>
    </w:p>
    <w:p w14:paraId="4B789BF6">
      <w:pPr>
        <w:pStyle w:val="13"/>
        <w:keepNext/>
        <w:keepLines/>
        <w:numPr>
          <w:ilvl w:val="0"/>
          <w:numId w:val="0"/>
        </w:numPr>
        <w:tabs>
          <w:tab w:val="left" w:pos="1548"/>
        </w:tabs>
        <w:kinsoku w:val="0"/>
        <w:overflowPunct w:val="0"/>
        <w:spacing w:before="1" w:beforeLines="0" w:afterLines="0" w:line="360" w:lineRule="auto"/>
        <w:ind w:left="777" w:firstLine="0"/>
        <w:rPr>
          <w:rFonts w:hint="default"/>
          <w:spacing w:val="-3"/>
          <w:sz w:val="24"/>
          <w:szCs w:val="24"/>
        </w:rPr>
      </w:pPr>
      <w:r>
        <w:rPr>
          <w:rFonts w:hint="default"/>
          <w:spacing w:val="-3"/>
          <w:sz w:val="24"/>
          <w:szCs w:val="24"/>
        </w:rPr>
        <w:t>10.1.5设备交货时，乙方需随机向甲方提供以下文件：</w:t>
      </w:r>
    </w:p>
    <w:p w14:paraId="7A3112F3">
      <w:pPr>
        <w:pStyle w:val="13"/>
        <w:keepNext/>
        <w:keepLines/>
        <w:numPr>
          <w:ilvl w:val="0"/>
          <w:numId w:val="10"/>
        </w:numPr>
        <w:tabs>
          <w:tab w:val="left" w:pos="1480"/>
        </w:tabs>
        <w:kinsoku w:val="0"/>
        <w:overflowPunct w:val="0"/>
        <w:spacing w:before="143" w:beforeLines="0" w:afterLines="0" w:line="360" w:lineRule="auto"/>
        <w:ind w:hanging="703"/>
        <w:rPr>
          <w:rFonts w:hint="default"/>
          <w:spacing w:val="-40"/>
          <w:sz w:val="24"/>
          <w:szCs w:val="24"/>
        </w:rPr>
      </w:pPr>
      <w:r>
        <w:rPr>
          <w:rFonts w:hint="default"/>
          <w:spacing w:val="-12"/>
          <w:sz w:val="24"/>
          <w:szCs w:val="24"/>
        </w:rPr>
        <w:t xml:space="preserve">设备安装详图 </w:t>
      </w:r>
      <w:r>
        <w:rPr>
          <w:rFonts w:hint="default"/>
          <w:spacing w:val="-2"/>
          <w:sz w:val="24"/>
          <w:szCs w:val="24"/>
        </w:rPr>
        <w:t>5</w:t>
      </w:r>
      <w:r>
        <w:rPr>
          <w:rFonts w:hint="default"/>
          <w:spacing w:val="-40"/>
          <w:sz w:val="24"/>
          <w:szCs w:val="24"/>
        </w:rPr>
        <w:t xml:space="preserve"> 份</w:t>
      </w:r>
    </w:p>
    <w:p w14:paraId="3F59B3B9">
      <w:pPr>
        <w:pStyle w:val="13"/>
        <w:keepNext/>
        <w:keepLines/>
        <w:numPr>
          <w:ilvl w:val="0"/>
          <w:numId w:val="10"/>
        </w:numPr>
        <w:tabs>
          <w:tab w:val="left" w:pos="1480"/>
        </w:tabs>
        <w:kinsoku w:val="0"/>
        <w:overflowPunct w:val="0"/>
        <w:spacing w:before="140" w:beforeLines="0" w:afterLines="0" w:line="360" w:lineRule="auto"/>
        <w:ind w:hanging="703"/>
        <w:rPr>
          <w:rFonts w:hint="default"/>
          <w:spacing w:val="-3"/>
          <w:sz w:val="24"/>
          <w:szCs w:val="24"/>
        </w:rPr>
      </w:pPr>
      <w:r>
        <w:rPr>
          <w:rFonts w:hint="default"/>
          <w:spacing w:val="-3"/>
          <w:sz w:val="24"/>
          <w:szCs w:val="24"/>
        </w:rPr>
        <w:t>产品合格证(包括甲方注明的所有外购件)</w:t>
      </w:r>
    </w:p>
    <w:p w14:paraId="51F97965">
      <w:pPr>
        <w:pStyle w:val="13"/>
        <w:keepNext/>
        <w:keepLines/>
        <w:numPr>
          <w:ilvl w:val="0"/>
          <w:numId w:val="10"/>
        </w:numPr>
        <w:tabs>
          <w:tab w:val="left" w:pos="1480"/>
        </w:tabs>
        <w:kinsoku w:val="0"/>
        <w:overflowPunct w:val="0"/>
        <w:spacing w:before="130" w:beforeLines="0" w:afterLines="0" w:line="360" w:lineRule="auto"/>
        <w:ind w:hanging="703"/>
        <w:rPr>
          <w:rFonts w:hint="default"/>
          <w:spacing w:val="-3"/>
          <w:sz w:val="24"/>
          <w:szCs w:val="24"/>
        </w:rPr>
      </w:pPr>
      <w:r>
        <w:rPr>
          <w:rFonts w:hint="default"/>
          <w:spacing w:val="-3"/>
          <w:sz w:val="24"/>
          <w:szCs w:val="24"/>
        </w:rPr>
        <w:t>产品安装要求、安装质量标准及使用维护说明书(包括外购件)</w:t>
      </w:r>
    </w:p>
    <w:p w14:paraId="39F68864">
      <w:pPr>
        <w:pStyle w:val="13"/>
        <w:keepNext/>
        <w:keepLines/>
        <w:numPr>
          <w:ilvl w:val="0"/>
          <w:numId w:val="10"/>
        </w:numPr>
        <w:tabs>
          <w:tab w:val="left" w:pos="1480"/>
        </w:tabs>
        <w:kinsoku w:val="0"/>
        <w:overflowPunct w:val="0"/>
        <w:spacing w:before="141" w:beforeLines="0" w:afterLines="0" w:line="360" w:lineRule="auto"/>
        <w:ind w:hanging="703"/>
        <w:rPr>
          <w:rFonts w:hint="default"/>
          <w:spacing w:val="-3"/>
          <w:sz w:val="24"/>
          <w:szCs w:val="24"/>
        </w:rPr>
      </w:pPr>
      <w:r>
        <w:rPr>
          <w:rFonts w:hint="default"/>
          <w:spacing w:val="-3"/>
          <w:sz w:val="24"/>
          <w:szCs w:val="24"/>
        </w:rPr>
        <w:t>主要材料的质量检验书</w:t>
      </w:r>
    </w:p>
    <w:p w14:paraId="56B670D6">
      <w:pPr>
        <w:pStyle w:val="13"/>
        <w:keepNext/>
        <w:keepLines/>
        <w:numPr>
          <w:ilvl w:val="0"/>
          <w:numId w:val="10"/>
        </w:numPr>
        <w:tabs>
          <w:tab w:val="left" w:pos="1480"/>
        </w:tabs>
        <w:kinsoku w:val="0"/>
        <w:overflowPunct w:val="0"/>
        <w:spacing w:before="143" w:beforeLines="0" w:afterLines="0" w:line="360" w:lineRule="auto"/>
        <w:ind w:hanging="703"/>
        <w:rPr>
          <w:rFonts w:hint="default"/>
          <w:spacing w:val="-3"/>
          <w:sz w:val="24"/>
          <w:szCs w:val="24"/>
        </w:rPr>
      </w:pPr>
      <w:r>
        <w:rPr>
          <w:rFonts w:hint="default"/>
          <w:spacing w:val="-3"/>
          <w:sz w:val="24"/>
          <w:szCs w:val="24"/>
        </w:rPr>
        <w:t>设备交货清单、调试配件清单、专用工具清单等资料</w:t>
      </w:r>
    </w:p>
    <w:p w14:paraId="0842C175">
      <w:pPr>
        <w:pStyle w:val="13"/>
        <w:keepNext/>
        <w:keepLines/>
        <w:numPr>
          <w:ilvl w:val="0"/>
          <w:numId w:val="10"/>
        </w:numPr>
        <w:tabs>
          <w:tab w:val="left" w:pos="1480"/>
        </w:tabs>
        <w:kinsoku w:val="0"/>
        <w:overflowPunct w:val="0"/>
        <w:spacing w:before="140" w:beforeLines="0" w:afterLines="0" w:line="360" w:lineRule="auto"/>
        <w:ind w:hanging="703"/>
        <w:rPr>
          <w:rFonts w:hint="default"/>
          <w:spacing w:val="-3"/>
          <w:sz w:val="24"/>
          <w:szCs w:val="24"/>
        </w:rPr>
      </w:pPr>
      <w:r>
        <w:rPr>
          <w:rFonts w:hint="default"/>
          <w:spacing w:val="-3"/>
          <w:sz w:val="24"/>
          <w:szCs w:val="24"/>
        </w:rPr>
        <w:t>提供易损件及大型部件清单，注明使用寿命及重量。</w:t>
      </w:r>
    </w:p>
    <w:p w14:paraId="05ABB3E3">
      <w:pPr>
        <w:pStyle w:val="2"/>
        <w:keepNext/>
        <w:keepLines/>
        <w:numPr>
          <w:ilvl w:val="0"/>
          <w:numId w:val="0"/>
        </w:numPr>
        <w:tabs>
          <w:tab w:val="left" w:pos="540"/>
        </w:tabs>
        <w:kinsoku w:val="0"/>
        <w:overflowPunct w:val="0"/>
        <w:spacing w:before="100" w:beforeLines="0" w:afterLines="0" w:line="360" w:lineRule="auto"/>
        <w:ind w:left="218" w:firstLine="0"/>
        <w:rPr>
          <w:rFonts w:hint="default"/>
          <w:spacing w:val="-3"/>
          <w:w w:val="95"/>
          <w:sz w:val="24"/>
          <w:szCs w:val="24"/>
        </w:rPr>
      </w:pPr>
      <w:bookmarkStart w:id="53" w:name="8.2 供方工作范围"/>
      <w:bookmarkEnd w:id="53"/>
      <w:bookmarkStart w:id="54" w:name="_bookmark33"/>
      <w:bookmarkEnd w:id="54"/>
      <w:bookmarkStart w:id="55" w:name="8.3 资料交付要求"/>
      <w:bookmarkEnd w:id="55"/>
      <w:bookmarkStart w:id="56" w:name="_bookmark34"/>
      <w:bookmarkEnd w:id="56"/>
      <w:bookmarkStart w:id="57" w:name="9 技术服务"/>
      <w:bookmarkEnd w:id="57"/>
      <w:bookmarkStart w:id="58" w:name="_bookmark35"/>
      <w:bookmarkEnd w:id="58"/>
      <w:r>
        <w:rPr>
          <w:rFonts w:hint="default"/>
          <w:spacing w:val="-3"/>
          <w:w w:val="95"/>
          <w:sz w:val="24"/>
          <w:szCs w:val="24"/>
        </w:rPr>
        <w:t>11技术服务</w:t>
      </w:r>
    </w:p>
    <w:p w14:paraId="718E76D5">
      <w:pPr>
        <w:pStyle w:val="13"/>
        <w:keepNext/>
        <w:keepLines/>
        <w:numPr>
          <w:ilvl w:val="0"/>
          <w:numId w:val="0"/>
        </w:numPr>
        <w:tabs>
          <w:tab w:val="left" w:pos="1268"/>
        </w:tabs>
        <w:kinsoku w:val="0"/>
        <w:overflowPunct w:val="0"/>
        <w:spacing w:before="132" w:beforeLines="0" w:afterLines="0" w:line="360" w:lineRule="auto"/>
        <w:ind w:left="777" w:right="250" w:firstLine="0"/>
        <w:jc w:val="both"/>
        <w:rPr>
          <w:rFonts w:hint="default"/>
          <w:color w:val="000000"/>
          <w:spacing w:val="-2"/>
          <w:sz w:val="24"/>
          <w:szCs w:val="24"/>
        </w:rPr>
      </w:pPr>
      <w:r>
        <w:rPr>
          <w:rFonts w:hint="default"/>
          <w:spacing w:val="-7"/>
          <w:sz w:val="24"/>
          <w:szCs w:val="24"/>
        </w:rPr>
        <w:t>11.1乙方要派合格的技术人员，赴安装施工现场进行技术服务，乙方的现</w:t>
      </w:r>
      <w:r>
        <w:rPr>
          <w:rFonts w:hint="default"/>
          <w:spacing w:val="-2"/>
          <w:sz w:val="24"/>
          <w:szCs w:val="24"/>
        </w:rPr>
        <w:t>场技术服务人员到现场后需制定必要的计划书。乙方对其现场技术服务人员的一切行为负全部责任。</w:t>
      </w:r>
    </w:p>
    <w:p w14:paraId="01D72D07">
      <w:pPr>
        <w:pStyle w:val="13"/>
        <w:keepNext/>
        <w:keepLines/>
        <w:numPr>
          <w:ilvl w:val="0"/>
          <w:numId w:val="0"/>
        </w:numPr>
        <w:tabs>
          <w:tab w:val="left" w:pos="1268"/>
        </w:tabs>
        <w:kinsoku w:val="0"/>
        <w:overflowPunct w:val="0"/>
        <w:spacing w:before="4" w:beforeLines="0" w:afterLines="0" w:line="360" w:lineRule="auto"/>
        <w:ind w:left="777" w:right="250" w:firstLine="0"/>
        <w:jc w:val="both"/>
        <w:rPr>
          <w:rFonts w:hint="default"/>
          <w:color w:val="000000"/>
          <w:spacing w:val="-2"/>
          <w:sz w:val="24"/>
          <w:szCs w:val="24"/>
        </w:rPr>
      </w:pPr>
      <w:r>
        <w:rPr>
          <w:rFonts w:hint="default"/>
          <w:spacing w:val="-6"/>
          <w:sz w:val="24"/>
          <w:szCs w:val="24"/>
        </w:rPr>
        <w:t>11.2乙方保证现场技术人员按投标文件约定的数量和人员结构，其目的是</w:t>
      </w:r>
      <w:r>
        <w:rPr>
          <w:rFonts w:hint="default"/>
          <w:spacing w:val="-2"/>
          <w:sz w:val="24"/>
          <w:szCs w:val="24"/>
        </w:rPr>
        <w:t>使做提供材料安全、正常安装投运，如果不能满足工程需要，乙方要追加人数，且不发生费用。派驻现场管理技术人员遵纪守法，遵守现场各项规章制度，了解合同备件材料、熟悉结构，有相同或近似现场工作经验，能够正确的进行现场指导。</w:t>
      </w:r>
    </w:p>
    <w:p w14:paraId="7BB6DA00">
      <w:pPr>
        <w:pStyle w:val="13"/>
        <w:keepNext/>
        <w:keepLines/>
        <w:numPr>
          <w:ilvl w:val="0"/>
          <w:numId w:val="0"/>
        </w:numPr>
        <w:tabs>
          <w:tab w:val="left" w:pos="1268"/>
        </w:tabs>
        <w:kinsoku w:val="0"/>
        <w:overflowPunct w:val="0"/>
        <w:spacing w:before="5" w:beforeLines="0" w:afterLines="0" w:line="360" w:lineRule="auto"/>
        <w:ind w:left="777" w:right="235" w:firstLine="0"/>
        <w:jc w:val="both"/>
        <w:rPr>
          <w:rFonts w:hint="default"/>
          <w:color w:val="000000"/>
          <w:spacing w:val="-8"/>
          <w:sz w:val="24"/>
          <w:szCs w:val="24"/>
        </w:rPr>
      </w:pPr>
      <w:r>
        <w:rPr>
          <w:rFonts w:hint="default"/>
          <w:spacing w:val="-12"/>
          <w:sz w:val="24"/>
          <w:szCs w:val="24"/>
        </w:rPr>
        <w:t>11.3乙方现场服务的技术人员应按甲方的要求，及时参加现场的设备安装、</w:t>
      </w:r>
      <w:r>
        <w:rPr>
          <w:rFonts w:hint="default"/>
          <w:spacing w:val="-8"/>
          <w:sz w:val="24"/>
          <w:szCs w:val="24"/>
        </w:rPr>
        <w:t>调试、功能考核、验收等工作，出席有关会议，及时处理技术和质量问题。</w:t>
      </w:r>
    </w:p>
    <w:p w14:paraId="46600E66">
      <w:pPr>
        <w:pStyle w:val="13"/>
        <w:keepNext/>
        <w:keepLines/>
        <w:numPr>
          <w:ilvl w:val="0"/>
          <w:numId w:val="0"/>
        </w:numPr>
        <w:tabs>
          <w:tab w:val="left" w:pos="1268"/>
        </w:tabs>
        <w:kinsoku w:val="0"/>
        <w:overflowPunct w:val="0"/>
        <w:spacing w:beforeLines="0" w:afterLines="0" w:line="360" w:lineRule="auto"/>
        <w:ind w:left="776" w:firstLine="0"/>
        <w:jc w:val="both"/>
        <w:rPr>
          <w:rFonts w:hint="default"/>
          <w:color w:val="000000"/>
          <w:spacing w:val="-3"/>
          <w:sz w:val="24"/>
          <w:szCs w:val="24"/>
        </w:rPr>
      </w:pPr>
      <w:r>
        <w:rPr>
          <w:rFonts w:hint="default"/>
          <w:spacing w:val="-3"/>
          <w:sz w:val="24"/>
          <w:szCs w:val="24"/>
        </w:rPr>
        <w:t>11.4乙方技术服务人员现场服务内容及职责</w:t>
      </w:r>
    </w:p>
    <w:p w14:paraId="1F746827">
      <w:pPr>
        <w:pStyle w:val="13"/>
        <w:keepNext/>
        <w:keepLines/>
        <w:numPr>
          <w:ilvl w:val="0"/>
          <w:numId w:val="0"/>
        </w:numPr>
        <w:tabs>
          <w:tab w:val="left" w:pos="1548"/>
        </w:tabs>
        <w:kinsoku w:val="0"/>
        <w:overflowPunct w:val="0"/>
        <w:spacing w:before="143" w:beforeLines="0" w:afterLines="0" w:line="360" w:lineRule="auto"/>
        <w:ind w:left="777" w:right="214" w:firstLine="0"/>
        <w:jc w:val="both"/>
        <w:rPr>
          <w:rFonts w:hint="default"/>
          <w:spacing w:val="-3"/>
          <w:sz w:val="24"/>
          <w:szCs w:val="24"/>
        </w:rPr>
      </w:pPr>
      <w:r>
        <w:rPr>
          <w:rFonts w:hint="default"/>
          <w:spacing w:val="-3"/>
          <w:sz w:val="24"/>
          <w:szCs w:val="24"/>
        </w:rPr>
        <w:t>11.5在供、需双方都在现场的情况下开箱验收。</w:t>
      </w:r>
    </w:p>
    <w:p w14:paraId="7D967E71">
      <w:pPr>
        <w:pStyle w:val="13"/>
        <w:keepNext/>
        <w:keepLines/>
        <w:numPr>
          <w:ilvl w:val="0"/>
          <w:numId w:val="0"/>
        </w:numPr>
        <w:tabs>
          <w:tab w:val="left" w:pos="1548"/>
        </w:tabs>
        <w:kinsoku w:val="0"/>
        <w:overflowPunct w:val="0"/>
        <w:spacing w:before="143" w:beforeLines="0" w:afterLines="0" w:line="360" w:lineRule="auto"/>
        <w:ind w:left="777" w:right="214" w:firstLine="0"/>
        <w:jc w:val="both"/>
        <w:rPr>
          <w:rFonts w:hint="default"/>
          <w:spacing w:val="-6"/>
          <w:sz w:val="24"/>
          <w:szCs w:val="24"/>
        </w:rPr>
      </w:pPr>
      <w:r>
        <w:rPr>
          <w:rFonts w:hint="default"/>
          <w:spacing w:val="-12"/>
          <w:sz w:val="24"/>
          <w:szCs w:val="24"/>
        </w:rPr>
        <w:t>11.6在安装和调试前，乙方技术服务人员应向甲方及施工方作技术交底，讲解和示范将要进行的程序和方法，对重要工序，乙方技术服务人员需对施工人员进行确认和签证，否则甲方不能进行下一道工序。经乙方确认和签证的工序，</w:t>
      </w:r>
      <w:r>
        <w:rPr>
          <w:rFonts w:hint="default"/>
          <w:spacing w:val="-6"/>
          <w:sz w:val="24"/>
          <w:szCs w:val="24"/>
        </w:rPr>
        <w:t>如因乙方技术服务人员指导错误而发生的问题，乙方负全部责任。</w:t>
      </w:r>
    </w:p>
    <w:p w14:paraId="1566C221">
      <w:pPr>
        <w:pStyle w:val="13"/>
        <w:keepNext/>
        <w:keepLines/>
        <w:numPr>
          <w:ilvl w:val="0"/>
          <w:numId w:val="0"/>
        </w:numPr>
        <w:tabs>
          <w:tab w:val="left" w:pos="1548"/>
        </w:tabs>
        <w:kinsoku w:val="0"/>
        <w:overflowPunct w:val="0"/>
        <w:spacing w:before="4" w:beforeLines="0" w:afterLines="0" w:line="360" w:lineRule="auto"/>
        <w:ind w:left="777" w:right="223" w:firstLine="0"/>
        <w:jc w:val="both"/>
        <w:rPr>
          <w:rFonts w:hint="default"/>
          <w:spacing w:val="-8"/>
          <w:sz w:val="24"/>
          <w:szCs w:val="24"/>
        </w:rPr>
      </w:pPr>
      <w:r>
        <w:rPr>
          <w:rFonts w:hint="default"/>
          <w:spacing w:val="-12"/>
          <w:sz w:val="24"/>
          <w:szCs w:val="24"/>
        </w:rPr>
        <w:t>11.7乙方技术服务人员应有权处理现场出现的一切技术、设备质量问题。</w:t>
      </w:r>
      <w:r>
        <w:rPr>
          <w:rFonts w:hint="default"/>
          <w:spacing w:val="-8"/>
          <w:sz w:val="24"/>
          <w:szCs w:val="24"/>
        </w:rPr>
        <w:t>如现场发生质量问题，乙方技术服务人员需在甲方规定的时间内处理解决。</w:t>
      </w:r>
    </w:p>
    <w:p w14:paraId="153A2D5F">
      <w:pPr>
        <w:pStyle w:val="13"/>
        <w:keepNext/>
        <w:keepLines/>
        <w:numPr>
          <w:ilvl w:val="0"/>
          <w:numId w:val="0"/>
        </w:numPr>
        <w:tabs>
          <w:tab w:val="left" w:pos="1548"/>
        </w:tabs>
        <w:kinsoku w:val="0"/>
        <w:overflowPunct w:val="0"/>
        <w:spacing w:before="4" w:beforeLines="0" w:afterLines="0" w:line="360" w:lineRule="auto"/>
        <w:ind w:left="777" w:firstLine="0"/>
        <w:jc w:val="both"/>
        <w:rPr>
          <w:rFonts w:hint="default"/>
          <w:spacing w:val="-3"/>
          <w:sz w:val="24"/>
          <w:szCs w:val="24"/>
        </w:rPr>
      </w:pPr>
      <w:r>
        <w:rPr>
          <w:rFonts w:hint="default"/>
          <w:spacing w:val="-3"/>
          <w:sz w:val="24"/>
          <w:szCs w:val="24"/>
        </w:rPr>
        <w:t>11.8指导安装和调试，参加设备试运行。</w:t>
      </w:r>
    </w:p>
    <w:p w14:paraId="3D9113D3">
      <w:pPr>
        <w:pStyle w:val="13"/>
        <w:keepNext/>
        <w:keepLines/>
        <w:numPr>
          <w:ilvl w:val="0"/>
          <w:numId w:val="0"/>
        </w:numPr>
        <w:tabs>
          <w:tab w:val="left" w:pos="1548"/>
        </w:tabs>
        <w:kinsoku w:val="0"/>
        <w:overflowPunct w:val="0"/>
        <w:spacing w:before="140" w:beforeLines="0" w:afterLines="0" w:line="360" w:lineRule="auto"/>
        <w:ind w:left="777" w:firstLine="0"/>
        <w:jc w:val="both"/>
        <w:rPr>
          <w:rFonts w:hint="default"/>
          <w:spacing w:val="-3"/>
          <w:sz w:val="24"/>
          <w:szCs w:val="24"/>
        </w:rPr>
      </w:pPr>
      <w:r>
        <w:rPr>
          <w:rFonts w:hint="default"/>
          <w:spacing w:val="-3"/>
          <w:sz w:val="24"/>
          <w:szCs w:val="24"/>
        </w:rPr>
        <w:t>11.9由业主、供、需三方都在现场的情况下，对设备进行现场验收。</w:t>
      </w:r>
    </w:p>
    <w:p w14:paraId="6C40E0A9">
      <w:pPr>
        <w:pStyle w:val="13"/>
        <w:keepNext/>
        <w:keepLines/>
        <w:numPr>
          <w:ilvl w:val="0"/>
          <w:numId w:val="0"/>
        </w:numPr>
        <w:tabs>
          <w:tab w:val="left" w:pos="1548"/>
        </w:tabs>
        <w:kinsoku w:val="0"/>
        <w:overflowPunct w:val="0"/>
        <w:spacing w:before="140" w:beforeLines="0" w:afterLines="0" w:line="360" w:lineRule="auto"/>
        <w:ind w:left="777" w:right="250" w:firstLine="0"/>
        <w:jc w:val="both"/>
        <w:rPr>
          <w:rFonts w:hint="default"/>
          <w:spacing w:val="-2"/>
          <w:sz w:val="24"/>
          <w:szCs w:val="24"/>
        </w:rPr>
      </w:pPr>
      <w:r>
        <w:rPr>
          <w:rFonts w:hint="default"/>
          <w:spacing w:val="-4"/>
          <w:sz w:val="24"/>
          <w:szCs w:val="24"/>
        </w:rPr>
        <w:t>11.10设备验收后，对业主方安排的操作人员进行必要的技术培训，包括</w:t>
      </w:r>
      <w:r>
        <w:rPr>
          <w:rFonts w:hint="default"/>
          <w:spacing w:val="-2"/>
          <w:sz w:val="24"/>
          <w:szCs w:val="24"/>
        </w:rPr>
        <w:t>设备结构及维护、设备控制及操作、工艺的调整、故障的处理等，培训在业主方现场联系实际进行，并制定培训大纲。</w:t>
      </w:r>
    </w:p>
    <w:p w14:paraId="6F37CE83">
      <w:pPr>
        <w:pStyle w:val="13"/>
        <w:keepNext/>
        <w:keepLines/>
        <w:numPr>
          <w:ilvl w:val="0"/>
          <w:numId w:val="0"/>
        </w:numPr>
        <w:tabs>
          <w:tab w:val="left" w:pos="1268"/>
        </w:tabs>
        <w:kinsoku w:val="0"/>
        <w:overflowPunct w:val="0"/>
        <w:spacing w:before="4" w:beforeLines="0" w:afterLines="0" w:line="360" w:lineRule="auto"/>
        <w:ind w:left="776" w:firstLine="0"/>
        <w:jc w:val="both"/>
        <w:rPr>
          <w:rFonts w:hint="default"/>
          <w:color w:val="000000"/>
          <w:spacing w:val="-3"/>
          <w:sz w:val="24"/>
          <w:szCs w:val="24"/>
        </w:rPr>
      </w:pPr>
      <w:r>
        <w:rPr>
          <w:rFonts w:hint="default"/>
          <w:spacing w:val="-3"/>
          <w:sz w:val="24"/>
          <w:szCs w:val="24"/>
        </w:rPr>
        <w:t>11.11乙方现场技术服务人员应具有下列条件</w:t>
      </w:r>
    </w:p>
    <w:p w14:paraId="7C1B3E42">
      <w:pPr>
        <w:pStyle w:val="13"/>
        <w:keepNext/>
        <w:keepLines/>
        <w:numPr>
          <w:ilvl w:val="0"/>
          <w:numId w:val="0"/>
        </w:numPr>
        <w:tabs>
          <w:tab w:val="left" w:pos="1548"/>
        </w:tabs>
        <w:kinsoku w:val="0"/>
        <w:overflowPunct w:val="0"/>
        <w:spacing w:before="130" w:beforeLines="0" w:afterLines="0" w:line="360" w:lineRule="auto"/>
        <w:ind w:left="777" w:firstLine="0"/>
        <w:rPr>
          <w:rFonts w:hint="default"/>
          <w:spacing w:val="-3"/>
          <w:sz w:val="24"/>
          <w:szCs w:val="24"/>
        </w:rPr>
      </w:pPr>
      <w:r>
        <w:rPr>
          <w:rFonts w:hint="default"/>
          <w:spacing w:val="-3"/>
          <w:sz w:val="24"/>
          <w:szCs w:val="24"/>
        </w:rPr>
        <w:t>11.12遵守法纪，遵守现场各项规章、制度。</w:t>
      </w:r>
    </w:p>
    <w:p w14:paraId="06542CB2">
      <w:pPr>
        <w:pStyle w:val="13"/>
        <w:keepNext/>
        <w:keepLines/>
        <w:numPr>
          <w:ilvl w:val="0"/>
          <w:numId w:val="0"/>
        </w:numPr>
        <w:tabs>
          <w:tab w:val="left" w:pos="1548"/>
        </w:tabs>
        <w:kinsoku w:val="0"/>
        <w:overflowPunct w:val="0"/>
        <w:spacing w:before="141" w:beforeLines="0" w:afterLines="0" w:line="360" w:lineRule="auto"/>
        <w:ind w:left="777" w:firstLine="0"/>
        <w:rPr>
          <w:rFonts w:hint="default"/>
          <w:spacing w:val="-3"/>
          <w:sz w:val="24"/>
          <w:szCs w:val="24"/>
        </w:rPr>
      </w:pPr>
      <w:r>
        <w:rPr>
          <w:rFonts w:hint="default"/>
          <w:spacing w:val="-3"/>
          <w:sz w:val="24"/>
          <w:szCs w:val="24"/>
        </w:rPr>
        <w:t>11.13有责任心和事业心，按时到位。</w:t>
      </w:r>
    </w:p>
    <w:p w14:paraId="1922B5CB">
      <w:pPr>
        <w:pStyle w:val="13"/>
        <w:keepNext/>
        <w:keepLines/>
        <w:numPr>
          <w:ilvl w:val="0"/>
          <w:numId w:val="0"/>
        </w:numPr>
        <w:tabs>
          <w:tab w:val="left" w:pos="1548"/>
        </w:tabs>
        <w:kinsoku w:val="0"/>
        <w:overflowPunct w:val="0"/>
        <w:spacing w:before="143" w:beforeLines="0" w:afterLines="0" w:line="360" w:lineRule="auto"/>
        <w:ind w:left="777" w:right="250" w:firstLine="0"/>
        <w:rPr>
          <w:rFonts w:hint="default"/>
          <w:spacing w:val="-2"/>
          <w:sz w:val="24"/>
          <w:szCs w:val="24"/>
        </w:rPr>
      </w:pPr>
      <w:r>
        <w:rPr>
          <w:rFonts w:hint="default"/>
          <w:spacing w:val="-4"/>
          <w:sz w:val="24"/>
          <w:szCs w:val="24"/>
        </w:rPr>
        <w:t>11.14了解合同设备的设计，熟悉其结构，有相同或相近机组的现场工作</w:t>
      </w:r>
      <w:r>
        <w:rPr>
          <w:rFonts w:hint="default"/>
          <w:spacing w:val="-2"/>
          <w:sz w:val="24"/>
          <w:szCs w:val="24"/>
        </w:rPr>
        <w:t>经验，能够正确的进行现场指导。</w:t>
      </w:r>
    </w:p>
    <w:p w14:paraId="7911D21D">
      <w:pPr>
        <w:pStyle w:val="13"/>
        <w:keepNext/>
        <w:keepLines/>
        <w:numPr>
          <w:ilvl w:val="0"/>
          <w:numId w:val="0"/>
        </w:numPr>
        <w:tabs>
          <w:tab w:val="left" w:pos="1548"/>
        </w:tabs>
        <w:kinsoku w:val="0"/>
        <w:overflowPunct w:val="0"/>
        <w:spacing w:before="1" w:beforeLines="0" w:afterLines="0" w:line="360" w:lineRule="auto"/>
        <w:ind w:left="777" w:firstLine="0"/>
        <w:rPr>
          <w:rFonts w:hint="default"/>
          <w:spacing w:val="-3"/>
          <w:sz w:val="24"/>
          <w:szCs w:val="24"/>
        </w:rPr>
      </w:pPr>
      <w:r>
        <w:rPr>
          <w:rFonts w:hint="default"/>
          <w:spacing w:val="-3"/>
          <w:sz w:val="24"/>
          <w:szCs w:val="24"/>
        </w:rPr>
        <w:t>11.15身体健康，适应现场工作条件。</w:t>
      </w:r>
    </w:p>
    <w:p w14:paraId="52DE7F06">
      <w:pPr>
        <w:pStyle w:val="2"/>
        <w:keepNext/>
        <w:keepLines/>
        <w:numPr>
          <w:ilvl w:val="0"/>
          <w:numId w:val="0"/>
        </w:numPr>
        <w:tabs>
          <w:tab w:val="left" w:pos="701"/>
        </w:tabs>
        <w:kinsoku w:val="0"/>
        <w:overflowPunct w:val="0"/>
        <w:spacing w:before="103" w:beforeLines="0" w:afterLines="0" w:line="360" w:lineRule="auto"/>
        <w:ind w:left="217" w:firstLine="0"/>
        <w:rPr>
          <w:rFonts w:hint="default"/>
          <w:spacing w:val="-3"/>
          <w:w w:val="95"/>
          <w:sz w:val="24"/>
          <w:szCs w:val="24"/>
        </w:rPr>
      </w:pPr>
      <w:r>
        <w:rPr>
          <w:rFonts w:hint="default"/>
          <w:spacing w:val="-3"/>
          <w:w w:val="95"/>
          <w:sz w:val="24"/>
          <w:szCs w:val="24"/>
        </w:rPr>
        <w:t>12质量保证</w:t>
      </w:r>
    </w:p>
    <w:p w14:paraId="2D6E2B39">
      <w:pPr>
        <w:pStyle w:val="13"/>
        <w:keepNext/>
        <w:keepLines/>
        <w:numPr>
          <w:ilvl w:val="0"/>
          <w:numId w:val="0"/>
        </w:numPr>
        <w:tabs>
          <w:tab w:val="left" w:pos="1479"/>
        </w:tabs>
        <w:kinsoku w:val="0"/>
        <w:overflowPunct w:val="0"/>
        <w:spacing w:before="129" w:beforeLines="0" w:afterLines="0" w:line="360" w:lineRule="auto"/>
        <w:ind w:left="777" w:right="252" w:firstLine="0"/>
        <w:rPr>
          <w:rFonts w:hint="default"/>
          <w:color w:val="000000"/>
          <w:spacing w:val="-4"/>
          <w:sz w:val="24"/>
          <w:szCs w:val="24"/>
        </w:rPr>
      </w:pPr>
      <w:r>
        <w:rPr>
          <w:rFonts w:hint="default"/>
          <w:spacing w:val="7"/>
          <w:sz w:val="24"/>
          <w:szCs w:val="24"/>
        </w:rPr>
        <w:t>12.1乙方应是已建立</w:t>
      </w:r>
      <w:r>
        <w:rPr>
          <w:rFonts w:hint="default"/>
          <w:sz w:val="24"/>
          <w:szCs w:val="24"/>
        </w:rPr>
        <w:t>ISO9001</w:t>
      </w:r>
      <w:r>
        <w:rPr>
          <w:rFonts w:hint="default"/>
          <w:spacing w:val="-10"/>
          <w:sz w:val="24"/>
          <w:szCs w:val="24"/>
        </w:rPr>
        <w:t xml:space="preserve"> 质量管理体系并取得相关体系认证证书的</w:t>
      </w:r>
      <w:r>
        <w:rPr>
          <w:rFonts w:hint="default"/>
          <w:spacing w:val="-4"/>
          <w:sz w:val="24"/>
          <w:szCs w:val="24"/>
        </w:rPr>
        <w:t>企业。</w:t>
      </w:r>
    </w:p>
    <w:p w14:paraId="09F9694E">
      <w:pPr>
        <w:pStyle w:val="13"/>
        <w:keepNext/>
        <w:keepLines/>
        <w:numPr>
          <w:ilvl w:val="0"/>
          <w:numId w:val="0"/>
        </w:numPr>
        <w:tabs>
          <w:tab w:val="left" w:pos="1479"/>
        </w:tabs>
        <w:kinsoku w:val="0"/>
        <w:overflowPunct w:val="0"/>
        <w:spacing w:before="3" w:beforeLines="0" w:afterLines="0" w:line="360" w:lineRule="auto"/>
        <w:ind w:left="777" w:right="250" w:firstLine="0"/>
        <w:rPr>
          <w:rFonts w:hint="default"/>
          <w:color w:val="000000"/>
          <w:spacing w:val="-2"/>
          <w:sz w:val="24"/>
          <w:szCs w:val="24"/>
        </w:rPr>
      </w:pPr>
      <w:r>
        <w:rPr>
          <w:rFonts w:hint="default"/>
          <w:spacing w:val="-2"/>
          <w:sz w:val="24"/>
          <w:szCs w:val="24"/>
        </w:rPr>
        <w:t>12.2乙方保证提供设备为全新的、先进的、成熟的、完整的和安全可靠的，且设备的技术经济性能符合本技术规格书中的要求。</w:t>
      </w:r>
    </w:p>
    <w:p w14:paraId="49CB406C">
      <w:pPr>
        <w:pStyle w:val="13"/>
        <w:keepNext/>
        <w:keepLines/>
        <w:numPr>
          <w:ilvl w:val="0"/>
          <w:numId w:val="0"/>
        </w:numPr>
        <w:tabs>
          <w:tab w:val="left" w:pos="1479"/>
        </w:tabs>
        <w:kinsoku w:val="0"/>
        <w:overflowPunct w:val="0"/>
        <w:spacing w:before="1" w:beforeLines="0" w:afterLines="0" w:line="360" w:lineRule="auto"/>
        <w:ind w:left="777" w:right="252" w:firstLine="0"/>
        <w:rPr>
          <w:rFonts w:hint="default"/>
          <w:color w:val="000000"/>
          <w:spacing w:val="-2"/>
          <w:sz w:val="24"/>
          <w:szCs w:val="24"/>
        </w:rPr>
      </w:pPr>
      <w:r>
        <w:rPr>
          <w:rFonts w:hint="default"/>
          <w:spacing w:val="-2"/>
          <w:sz w:val="24"/>
          <w:szCs w:val="24"/>
        </w:rPr>
        <w:t>12.3乙方应提供有关产品的质量保证程序或计划，以保证供货设备的设计、制造、检验、试验能完全满足技术要求。</w:t>
      </w:r>
    </w:p>
    <w:p w14:paraId="7C575049">
      <w:pPr>
        <w:pStyle w:val="13"/>
        <w:keepNext/>
        <w:keepLines/>
        <w:numPr>
          <w:ilvl w:val="0"/>
          <w:numId w:val="0"/>
        </w:numPr>
        <w:tabs>
          <w:tab w:val="left" w:pos="1481"/>
        </w:tabs>
        <w:kinsoku w:val="0"/>
        <w:overflowPunct w:val="0"/>
        <w:spacing w:beforeLines="0" w:afterLines="0" w:line="360" w:lineRule="auto"/>
        <w:ind w:left="777" w:right="251" w:firstLine="0"/>
        <w:rPr>
          <w:rFonts w:hint="default"/>
          <w:color w:val="000000"/>
          <w:spacing w:val="-2"/>
          <w:sz w:val="24"/>
          <w:szCs w:val="24"/>
        </w:rPr>
      </w:pPr>
      <w:r>
        <w:rPr>
          <w:rFonts w:hint="default"/>
          <w:spacing w:val="-2"/>
          <w:sz w:val="24"/>
          <w:szCs w:val="24"/>
        </w:rPr>
        <w:t>12.4对于属于整套设备运行和施工所必需的部件，如果附件未列出和/或数量不足，乙方仍需补足，且不发生费用变化。</w:t>
      </w:r>
    </w:p>
    <w:p w14:paraId="02AE9D71">
      <w:pPr>
        <w:pStyle w:val="13"/>
        <w:keepNext/>
        <w:keepLines/>
        <w:numPr>
          <w:ilvl w:val="0"/>
          <w:numId w:val="0"/>
        </w:numPr>
        <w:tabs>
          <w:tab w:val="left" w:pos="1479"/>
        </w:tabs>
        <w:kinsoku w:val="0"/>
        <w:overflowPunct w:val="0"/>
        <w:spacing w:beforeLines="0" w:afterLines="0" w:line="360" w:lineRule="auto"/>
        <w:ind w:left="777" w:right="250" w:firstLine="0"/>
        <w:rPr>
          <w:rFonts w:hint="default"/>
          <w:color w:val="000000"/>
          <w:spacing w:val="-4"/>
          <w:sz w:val="24"/>
          <w:szCs w:val="24"/>
        </w:rPr>
      </w:pPr>
      <w:r>
        <w:rPr>
          <w:rFonts w:hint="default"/>
          <w:spacing w:val="-2"/>
          <w:sz w:val="24"/>
          <w:szCs w:val="24"/>
        </w:rPr>
        <w:t>12.5设备质保期内如因设备本身制造引起的质量问题，发生的费用由乙方</w:t>
      </w:r>
      <w:r>
        <w:rPr>
          <w:rFonts w:hint="default"/>
          <w:spacing w:val="-4"/>
          <w:sz w:val="24"/>
          <w:szCs w:val="24"/>
        </w:rPr>
        <w:t>承担。</w:t>
      </w:r>
    </w:p>
    <w:p w14:paraId="12C26F53">
      <w:pPr>
        <w:pStyle w:val="2"/>
        <w:keepNext/>
        <w:keepLines/>
        <w:numPr>
          <w:ilvl w:val="0"/>
          <w:numId w:val="0"/>
        </w:numPr>
        <w:tabs>
          <w:tab w:val="left" w:pos="701"/>
        </w:tabs>
        <w:kinsoku w:val="0"/>
        <w:overflowPunct w:val="0"/>
        <w:spacing w:beforeLines="0" w:afterLines="0" w:line="360" w:lineRule="auto"/>
        <w:ind w:left="217" w:firstLine="0"/>
        <w:rPr>
          <w:rFonts w:hint="default"/>
          <w:spacing w:val="-2"/>
          <w:w w:val="95"/>
          <w:sz w:val="24"/>
          <w:szCs w:val="24"/>
        </w:rPr>
      </w:pPr>
      <w:bookmarkStart w:id="59" w:name="11 设计功能指标考核"/>
      <w:bookmarkEnd w:id="59"/>
      <w:bookmarkStart w:id="60" w:name="_bookmark37"/>
      <w:bookmarkEnd w:id="60"/>
      <w:r>
        <w:rPr>
          <w:rFonts w:hint="default"/>
          <w:spacing w:val="-2"/>
          <w:w w:val="95"/>
          <w:sz w:val="24"/>
          <w:szCs w:val="24"/>
        </w:rPr>
        <w:t>13设计功能指标考核</w:t>
      </w:r>
    </w:p>
    <w:p w14:paraId="6D2334BD">
      <w:pPr>
        <w:pStyle w:val="5"/>
        <w:keepNext/>
        <w:keepLines/>
        <w:kinsoku w:val="0"/>
        <w:overflowPunct w:val="0"/>
        <w:spacing w:before="132" w:beforeLines="0" w:afterLines="0" w:line="360" w:lineRule="auto"/>
        <w:ind w:right="250"/>
        <w:rPr>
          <w:rFonts w:hint="default"/>
          <w:spacing w:val="-2"/>
          <w:sz w:val="24"/>
          <w:szCs w:val="24"/>
        </w:rPr>
      </w:pPr>
      <w:r>
        <w:rPr>
          <w:rFonts w:hint="default"/>
          <w:spacing w:val="-2"/>
          <w:sz w:val="24"/>
          <w:szCs w:val="24"/>
        </w:rPr>
        <w:t>除尘器排放浓度：≤10mg/m</w:t>
      </w:r>
      <w:r>
        <w:rPr>
          <w:rFonts w:hint="default"/>
          <w:spacing w:val="-2"/>
          <w:position w:val="14"/>
          <w:sz w:val="24"/>
          <w:szCs w:val="24"/>
        </w:rPr>
        <w:t>3</w:t>
      </w:r>
      <w:r>
        <w:rPr>
          <w:rFonts w:hint="default"/>
          <w:spacing w:val="-2"/>
          <w:sz w:val="24"/>
          <w:szCs w:val="24"/>
        </w:rPr>
        <w:t>，由酒钢环保监测站或具备相应检测资质的第三方检测机构检测并出具相关检测报告，检测费由乙方负责。</w:t>
      </w:r>
    </w:p>
    <w:p w14:paraId="79CF033D">
      <w:pPr>
        <w:pStyle w:val="2"/>
        <w:keepNext/>
        <w:keepLines/>
        <w:numPr>
          <w:ilvl w:val="0"/>
          <w:numId w:val="0"/>
        </w:numPr>
        <w:tabs>
          <w:tab w:val="left" w:pos="622"/>
        </w:tabs>
        <w:kinsoku w:val="0"/>
        <w:overflowPunct w:val="0"/>
        <w:spacing w:beforeLines="0" w:afterLines="0" w:line="360" w:lineRule="auto"/>
        <w:ind w:left="217" w:firstLine="0"/>
        <w:rPr>
          <w:rFonts w:hint="default"/>
          <w:spacing w:val="-1"/>
          <w:w w:val="95"/>
          <w:sz w:val="24"/>
          <w:szCs w:val="24"/>
        </w:rPr>
      </w:pPr>
      <w:bookmarkStart w:id="61" w:name="12设备交货地点和交货时间"/>
      <w:bookmarkEnd w:id="61"/>
      <w:bookmarkStart w:id="62" w:name="_bookmark38"/>
      <w:bookmarkEnd w:id="62"/>
      <w:r>
        <w:rPr>
          <w:rFonts w:hint="default"/>
          <w:spacing w:val="-1"/>
          <w:w w:val="95"/>
          <w:sz w:val="24"/>
          <w:szCs w:val="24"/>
        </w:rPr>
        <w:t>14设备交货地点和交货时间</w:t>
      </w:r>
    </w:p>
    <w:p w14:paraId="21A0A700">
      <w:pPr>
        <w:keepNext/>
        <w:kinsoku w:val="0"/>
        <w:overflowPunct w:val="0"/>
        <w:snapToGrid w:val="0"/>
        <w:spacing w:before="159" w:beforeLines="0" w:afterLines="0" w:line="360" w:lineRule="auto"/>
        <w:ind w:left="683"/>
        <w:rPr>
          <w:rFonts w:hint="default" w:hAnsi="宋体"/>
          <w:color w:val="0C0C0C"/>
          <w:sz w:val="24"/>
          <w:szCs w:val="24"/>
        </w:rPr>
      </w:pPr>
      <w:r>
        <w:rPr>
          <w:rFonts w:hint="default" w:hAnsi="宋体"/>
          <w:color w:val="0C0C0C"/>
          <w:spacing w:val="-1"/>
          <w:sz w:val="24"/>
          <w:szCs w:val="24"/>
        </w:rPr>
        <w:t>设备交货地点：酒钢冶金厂区。</w:t>
      </w:r>
    </w:p>
    <w:p w14:paraId="295F7FE4">
      <w:pPr>
        <w:keepNext/>
        <w:kinsoku w:val="0"/>
        <w:overflowPunct w:val="0"/>
        <w:snapToGrid w:val="0"/>
        <w:spacing w:before="167" w:beforeLines="0" w:afterLines="0" w:line="360" w:lineRule="auto"/>
        <w:ind w:left="684"/>
        <w:textAlignment w:val="baseline"/>
        <w:rPr>
          <w:rFonts w:hint="default" w:hAnsi="宋体"/>
          <w:color w:val="0C0C0C"/>
          <w:spacing w:val="-9"/>
          <w:sz w:val="24"/>
          <w:szCs w:val="24"/>
        </w:rPr>
      </w:pPr>
      <w:r>
        <w:rPr>
          <w:rFonts w:hint="default" w:hAnsi="宋体"/>
          <w:color w:val="0C0C0C"/>
          <w:spacing w:val="-9"/>
          <w:sz w:val="24"/>
          <w:szCs w:val="24"/>
        </w:rPr>
        <w:t>交货时间：以招标合同为准！</w:t>
      </w:r>
      <w:bookmarkStart w:id="63" w:name="10 质量保证"/>
      <w:bookmarkEnd w:id="63"/>
      <w:bookmarkStart w:id="64" w:name="_bookmark36"/>
      <w:bookmarkEnd w:id="64"/>
    </w:p>
    <w:p w14:paraId="4E3ECE2A">
      <w:pPr>
        <w:pStyle w:val="2"/>
        <w:keepNext/>
        <w:keepLines/>
        <w:numPr>
          <w:ilvl w:val="0"/>
          <w:numId w:val="0"/>
        </w:numPr>
        <w:tabs>
          <w:tab w:val="left" w:pos="622"/>
        </w:tabs>
        <w:kinsoku w:val="0"/>
        <w:overflowPunct w:val="0"/>
        <w:spacing w:beforeLines="0" w:afterLines="0" w:line="360" w:lineRule="auto"/>
        <w:ind w:left="217" w:firstLine="0"/>
        <w:rPr>
          <w:rFonts w:hint="default"/>
          <w:spacing w:val="-1"/>
          <w:w w:val="95"/>
          <w:sz w:val="24"/>
          <w:szCs w:val="24"/>
        </w:rPr>
      </w:pPr>
      <w:r>
        <w:rPr>
          <w:rFonts w:hint="default"/>
          <w:spacing w:val="-1"/>
          <w:w w:val="95"/>
          <w:sz w:val="24"/>
          <w:szCs w:val="24"/>
        </w:rPr>
        <w:t>15 补充要求</w:t>
      </w:r>
    </w:p>
    <w:p w14:paraId="51CC5FDB">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bookmarkStart w:id="65" w:name="bookmark85"/>
      <w:bookmarkEnd w:id="65"/>
      <w:bookmarkStart w:id="66" w:name="bookmark84"/>
      <w:bookmarkEnd w:id="66"/>
      <w:r>
        <w:rPr>
          <w:rFonts w:hint="default" w:hAnsi="宋体"/>
          <w:color w:val="0C0C0C"/>
          <w:spacing w:val="-2"/>
          <w:sz w:val="24"/>
          <w:szCs w:val="24"/>
        </w:rPr>
        <w:t>15.1低压柜（包含GGD/MNS/GCK/动力柜等）内每个回路粘贴回路设备名称及对应的设备编号；抽屉柜回路、变频器回路、软启动回路要分别安装回路的设备名称及对应的设备编号标识框；柜内所有一、二次元件要粘贴原理图对应的英文代号。出线端子、母线。</w:t>
      </w:r>
    </w:p>
    <w:p w14:paraId="2452822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15.2柜门元件按回路逐一安装功能标识框（黄底黑字），柜内仪表门后部粘贴元件对应英文代号；柜内每个回路的功能标识（15cm*5cm，颜色待定）按照装配位置（柜子前后布置）粘贴在前后柜门。</w:t>
      </w:r>
    </w:p>
    <w:p w14:paraId="014FFD50">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15.3柜内原理图如单独绘制，必须与委托方所提供控制原理、线号等完全一致，端子位置必须与提供端子图纸一致，不得出现外部对接线端子错位现象。</w:t>
      </w:r>
    </w:p>
    <w:p w14:paraId="6F260035">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15.4柜体出厂编号由委托方提供；出厂铭牌及试验报告以委托方提供样板为准制作；铭牌采用钢制牌并用铝钉铆拉；门楣样式及内容以委托方提供样板为准制作；柜体前后均设置眉头；柜体前后粘贴“有电危险”标识。</w:t>
      </w:r>
    </w:p>
    <w:p w14:paraId="7D58ADC9">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15.5柜体厚度按照技术协议执行，未明确标注的柜体厚度不小于2mm；柜内一、二次元件按照技术协议指定厂家选型；生产辅材及铜排采用国内优质品牌；端子采用菲尼克斯或凤凰牌，端子排额定电压不小于500V，额定电流不小于5A，具有隔板、线号和端子螺丝，每个端子排都应有编号，配置好端子标记条及每组端子的标记夹，电流端子额定电流不小于20A；端子预留20%备用端子。</w:t>
      </w:r>
    </w:p>
    <w:p w14:paraId="0FB6C95E">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15.6柜内元件安装位置要求合理正确,低压柜（GGD/MNS/GCK等）内端子排接线考虑与附近元件保持一定安全距离，端子排考虑预留外部接引位置。柜下部接线端子距离地面高度不得小于300mm；所有元件及母线的安装要便于现场操作、维护、更换及外部电缆接引；如元器件距离带电体较近，必须加装绝缘防护板来隔离，保证操作人员安全。每面柜体要留有足够的外部一次、二次电缆接引的空间。柜内所有易触及的带电部位需要加装透明绝缘板隔离，要方便拆卸。</w:t>
      </w:r>
    </w:p>
    <w:p w14:paraId="7C3E8EAF">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15.7柜内所有线缆具有耐热、防潮、阻燃性能；二次配线要求整齐美观，符合相关国家规范及执行标准，内部接线排列整齐美观、清晰，用螺旋管绑扎成束，导线连接紧密，不伤线芯，不断股，一个端子只能接引一根线；禁止一个螺栓上固定多根导线。所有导线、尼龙扎带、防护板等均为B级阻燃型。所有线缆不允许中间对接。协议要求柜内要布置线槽的，要严格按照协议执行。</w:t>
      </w:r>
    </w:p>
    <w:p w14:paraId="3872829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15.8柜所有门锁采用弹跳锁；门铰链采用金属镀铬，当门长大于1.2米时装设三个铰链，小于1.2米时装设两个铰链；柜门与门、门与壳体之间缝隙均匀，缝隙差小于1mm，缝长大于1米时，均匀差不大于1.5mm；大门要有防掉角措施。</w:t>
      </w:r>
    </w:p>
    <w:p w14:paraId="3D27A607">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15.9柜子金属部分和电器金属外壳均应良好接地，接地线不允许串接，每条地线要从接地端子分别引至柜门，并做固定卡固定地线。柜门的接地线应采用≥6mm2铜编织软线，外部套阻燃绝缘套管；柜内设置接地标志。</w:t>
      </w:r>
    </w:p>
    <w:p w14:paraId="579F0E0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15.10零排和地排的电流容量至少保证和相线母排一致，设置合理的压接螺栓，禁止一个螺栓上固定多根导线。</w:t>
      </w:r>
    </w:p>
    <w:p w14:paraId="315D5CC6">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15.11柜内进线、联络柜的分支母排规格与水平排规格保持一致。</w:t>
      </w:r>
    </w:p>
    <w:p w14:paraId="230FBBA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15.12柜间小隔板底部要封到底，只留出零排、地排过孔，其余全封闭。</w:t>
      </w:r>
    </w:p>
    <w:p w14:paraId="3DC495A4">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15.13电流回路铜芯绝缘软线不小于2.5mm2，电压回路不小于1.5mm2，一次线与二次线不能压接在同一端子上，二次端子不能用开口线鼻子压接。柜内所有一次线采用多股铜芯软线或带热缩套管的分支母线形式，二次线全部采用多股铜芯软线，额定绝缘电压1kV。</w:t>
      </w:r>
    </w:p>
    <w:p w14:paraId="52E495BA">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15.14母线材料选用高导电率T2铜排；采用螺栓连接时，接头处不应少于两个螺栓，所有连接螺母置于维护侧，螺栓强度为8.8级。</w:t>
      </w:r>
    </w:p>
    <w:p w14:paraId="5E02C4BB">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15.15 N排和PE排出厂前预先钻孔，孔数及大小符合进出线回路使用，并应做好钻孔两面导体紧固处不被绝缘漆覆盖；所有水平母线、垂直母线、分支母线应有绝缘护套（加套热缩管，并按照国家标准颜色区分相序，粘贴相序标识），主母线、分支母线和母线连接部位加装绝缘盒，中性线采用与相线相同的绝缘等级，绝缘物的额定电压为1000V。</w:t>
      </w:r>
    </w:p>
    <w:p w14:paraId="0F8E42AF">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15.16所有铜母线要求镀锡或镀银，要求先加工再镀锡或镀银。</w:t>
      </w:r>
    </w:p>
    <w:p w14:paraId="7F2E9EAE">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15.17铜排含铜率≥99.9%。（提供第三方检测报告）。</w:t>
      </w:r>
    </w:p>
    <w:p w14:paraId="71EDB0AC">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15.18所有母线夹采用PMJ型，材质为BMC型不饱和树脂，母线要加热缩套管，选择母线夹时要注意，大于等于4000A,母线夹安装支架采用不锈钢材质，安装螺钉为不锈钢；绝缘子采用SM系列绝缘子，材质为不饱和聚酯树脂玻璃纤维增强模压塑件，嵌件为铜制。</w:t>
      </w:r>
    </w:p>
    <w:p w14:paraId="221A0E0A">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15.19主母线额定短时耐受电流（方均根值）不小于4kA（1S）,主母线额定电流满足设计图纸要求。</w:t>
      </w:r>
    </w:p>
    <w:p w14:paraId="6F0EE416">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15.20架桥柜母线伸出柜顶200mm，ABCN均按此要求，同时加装整块绝缘板，防止涡流；</w:t>
      </w:r>
    </w:p>
    <w:p w14:paraId="696375E9">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15.21柜内所有螺栓均采用8.8级。配齐外部电缆接引螺栓、母线连接螺栓、并柜螺栓等所有现场安装所需要的螺栓。母线连接螺栓规格及数量严格按照国家相关标准选择。柜内螺栓紧固后要点漆标记。</w:t>
      </w:r>
    </w:p>
    <w:p w14:paraId="4134E40E">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15.22进线柜、母联柜柜后加装透明绝缘板，保证后门开启后不能直接触碰到带电母线。柜内母排（汇流排，分支排，其它分支排），凡是人可直接触及到带电母线的部位均要加装透明绝缘板（主母排除外）。</w:t>
      </w:r>
    </w:p>
    <w:p w14:paraId="5FAEE07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15.23端柜大侧封板内母线位置加装绝缘板。</w:t>
      </w:r>
    </w:p>
    <w:p w14:paraId="41FE92B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15.24柜体底部设置电缆固定支架。</w:t>
      </w:r>
    </w:p>
    <w:p w14:paraId="7BE76973">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15.25顶盖设计要注意保证现场正常并柜后防护等级不降低，要求柜与柜之间配合紧密。</w:t>
      </w:r>
    </w:p>
    <w:p w14:paraId="7FECBFDC">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15.26所有柜体要保证强度，对于较重的元器件及母排，要由加固措施，防止运输过程变形；每面柜体要有独立包装，要求防雨，要防止运输过程碰撞、摩擦损坏柜体及门上元器件。</w:t>
      </w:r>
    </w:p>
    <w:p w14:paraId="3965163F">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15.27厂家至少派1名售后人员随柜体到现场配合交接验收，待运行送电无问题后方可离开。</w:t>
      </w:r>
    </w:p>
    <w:p w14:paraId="5C2750D5">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15.28随柜体附带纸质版资料6套（系统图、原理图、端子图、配置清单），电子版资料1套（要包含总装图、布置图、底部安装开孔图等）。</w:t>
      </w:r>
    </w:p>
    <w:p w14:paraId="14ABE95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15.29所有元器件合格证书、出厂试验报告等至少1套。</w:t>
      </w:r>
    </w:p>
    <w:p w14:paraId="703A6C2A">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15.30柜体包装带木质底托。散发柜体必须采用木质包装。</w:t>
      </w:r>
    </w:p>
    <w:p w14:paraId="0CED3725">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 xml:space="preserve">15.31柜门内部粘贴一次图、原理图，要求过塑。 </w:t>
      </w:r>
    </w:p>
    <w:p w14:paraId="5C547134">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15.32端子标记条在端子进出线两侧均要安装，标记条上号码为打印，不能手写，并且方向要跟端子安装方向一致。</w:t>
      </w:r>
    </w:p>
    <w:p w14:paraId="02AEC4DE">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15.33对于柜外操作的隔离开关、负荷开关、断路器，要保证紧急解锁后可以开启柜门；如果上述开关是本柜的总开关，安装时要拆除连锁装置，保证总开关合闸时，能打开柜门操作其他回路，并告知我方技术人员确认后拆除。</w:t>
      </w:r>
    </w:p>
    <w:p w14:paraId="55C4B323">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15.34所有导轨安装元件，两侧必须采用堵头固定。</w:t>
      </w:r>
    </w:p>
    <w:p w14:paraId="0A648E42">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15.35门板所有接地螺钉处要有接地标识。</w:t>
      </w:r>
    </w:p>
    <w:p w14:paraId="7431B363">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15.36门锁钥匙、连锁钥匙、操作手柄、抽屉摇把等附件要集中单独包装放置，不能直接插在门上或绑在柜内外。</w:t>
      </w:r>
    </w:p>
    <w:p w14:paraId="77AD3001">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15.37随柜要配置一定数量的易损配件，如门把手、门锁等；配置与柜体颜色一致的自喷漆，便于剐蹭划伤恢复。</w:t>
      </w:r>
    </w:p>
    <w:p w14:paraId="6D64BD7E">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15.38表计必须寄回宏联先校检，然后再返回外协厂家安装。</w:t>
      </w:r>
    </w:p>
    <w:p w14:paraId="0B0ED03A">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15.39要求零排和地排一个螺栓接一根线，零排地排上要求多冲孔，满足接线要求。</w:t>
      </w:r>
    </w:p>
    <w:p w14:paraId="0919B106">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15.40要求每个箱（柜）都必须有零排和地排、带电标识等。</w:t>
      </w:r>
    </w:p>
    <w:p w14:paraId="39DA806C">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15.41要求所有按钮加防护罩，所有标识都为双标识(代号和用途），灯使用抗干扰，继电器使用带阻容吸收的。柜门内要设计放置资料的槽。柜内贴图纸，低压柜的进线断路器要配置欠压延时脱扣器，低压柜配置双眉头标识。</w:t>
      </w:r>
    </w:p>
    <w:p w14:paraId="63D17590">
      <w:pPr>
        <w:keepNext/>
        <w:kinsoku w:val="0"/>
        <w:overflowPunct w:val="0"/>
        <w:snapToGrid w:val="0"/>
        <w:spacing w:before="1" w:beforeLines="0" w:afterLines="0" w:line="360" w:lineRule="auto"/>
        <w:ind w:left="131"/>
        <w:textAlignment w:val="baseline"/>
        <w:outlineLvl w:val="0"/>
        <w:rPr>
          <w:rFonts w:hint="default" w:ascii="Calibri" w:hAnsi="Calibri" w:eastAsia="Calibri" w:cs="Calibri"/>
          <w:b/>
          <w:color w:val="0C0C0C"/>
          <w:spacing w:val="4"/>
          <w:sz w:val="24"/>
          <w:szCs w:val="24"/>
        </w:rPr>
      </w:pPr>
      <w:r>
        <w:rPr>
          <w:rFonts w:hint="default" w:ascii="Calibri" w:hAnsi="Calibri" w:eastAsia="Calibri" w:cs="Calibri"/>
          <w:b/>
          <w:color w:val="0C0C0C"/>
          <w:spacing w:val="4"/>
          <w:sz w:val="24"/>
          <w:szCs w:val="24"/>
        </w:rPr>
        <w:t>16其他</w:t>
      </w:r>
    </w:p>
    <w:p w14:paraId="75688F2F">
      <w:pPr>
        <w:keepNext/>
        <w:kinsoku w:val="0"/>
        <w:overflowPunct w:val="0"/>
        <w:snapToGrid w:val="0"/>
        <w:spacing w:before="167" w:beforeLines="0" w:afterLines="0" w:line="360" w:lineRule="auto"/>
        <w:ind w:right="106" w:firstLine="236" w:firstLineChars="100"/>
        <w:rPr>
          <w:rFonts w:hint="default" w:hAnsi="宋体"/>
          <w:color w:val="0C0C0C"/>
          <w:spacing w:val="-2"/>
          <w:sz w:val="24"/>
          <w:szCs w:val="24"/>
        </w:rPr>
      </w:pPr>
      <w:r>
        <w:rPr>
          <w:rFonts w:hint="default" w:hAnsi="宋体"/>
          <w:color w:val="0C0C0C"/>
          <w:spacing w:val="-2"/>
          <w:sz w:val="24"/>
          <w:szCs w:val="24"/>
        </w:rPr>
        <w:t>16.1本技术规格书一式四份，甲方三份，乙方一份。</w:t>
      </w:r>
    </w:p>
    <w:p w14:paraId="5CC2DF51">
      <w:pPr>
        <w:autoSpaceDE/>
        <w:autoSpaceDN/>
        <w:spacing w:beforeLines="0" w:afterLines="0" w:line="360" w:lineRule="auto"/>
        <w:ind w:firstLine="236" w:firstLineChars="100"/>
        <w:rPr>
          <w:rFonts w:hint="default" w:hAnsi="宋体"/>
          <w:color w:val="0C0C0C"/>
          <w:spacing w:val="-2"/>
          <w:sz w:val="24"/>
          <w:szCs w:val="24"/>
        </w:rPr>
      </w:pPr>
      <w:r>
        <w:rPr>
          <w:rFonts w:hint="default" w:hAnsi="宋体"/>
          <w:color w:val="0C0C0C"/>
          <w:spacing w:val="-2"/>
          <w:sz w:val="24"/>
          <w:szCs w:val="24"/>
        </w:rPr>
        <w:t>16.2本规格书内容经由甲乙双方于</w:t>
      </w:r>
      <w:r>
        <w:rPr>
          <w:rFonts w:hint="eastAsia" w:ascii="仿宋" w:hAnsi="仿宋" w:eastAsia="仿宋" w:cs="仿宋"/>
          <w:color w:val="0C0C0C"/>
          <w:sz w:val="24"/>
          <w:szCs w:val="24"/>
        </w:rPr>
        <w:t xml:space="preserve"> </w:t>
      </w:r>
      <w:r>
        <w:rPr>
          <w:rFonts w:hint="eastAsia" w:ascii="仿宋" w:hAnsi="仿宋" w:eastAsia="仿宋" w:cs="仿宋"/>
          <w:color w:val="0C0C0C"/>
          <w:sz w:val="24"/>
          <w:szCs w:val="24"/>
          <w:u w:val="single"/>
        </w:rPr>
        <w:t xml:space="preserve"> </w:t>
      </w:r>
      <w:r>
        <w:rPr>
          <w:rFonts w:hint="eastAsia" w:hAnsi="仿宋" w:eastAsia="仿宋" w:cs="仿宋"/>
          <w:color w:val="0C0C0C"/>
          <w:sz w:val="24"/>
          <w:szCs w:val="24"/>
          <w:u w:val="single"/>
          <w:lang w:val="en-US" w:eastAsia="zh-CN"/>
        </w:rPr>
        <w:t>2026</w:t>
      </w:r>
      <w:r>
        <w:rPr>
          <w:rFonts w:hint="default" w:hAnsi="仿宋" w:cs="仿宋"/>
          <w:color w:val="0C0C0C"/>
          <w:sz w:val="24"/>
          <w:szCs w:val="24"/>
          <w:u w:val="single"/>
        </w:rPr>
        <w:t xml:space="preserve"> </w:t>
      </w:r>
      <w:r>
        <w:rPr>
          <w:rFonts w:hint="default" w:hAnsi="宋体"/>
          <w:color w:val="0C0C0C"/>
          <w:spacing w:val="-2"/>
          <w:sz w:val="24"/>
          <w:szCs w:val="24"/>
        </w:rPr>
        <w:t>年</w:t>
      </w:r>
      <w:r>
        <w:rPr>
          <w:rFonts w:hint="default" w:hAnsi="宋体"/>
          <w:color w:val="0C0C0C"/>
          <w:sz w:val="24"/>
          <w:szCs w:val="24"/>
        </w:rPr>
        <w:t xml:space="preserve"> </w:t>
      </w:r>
      <w:r>
        <w:rPr>
          <w:rFonts w:hint="default" w:hAnsi="仿宋" w:cs="仿宋"/>
          <w:color w:val="0C0C0C"/>
          <w:sz w:val="24"/>
          <w:szCs w:val="24"/>
          <w:u w:val="single"/>
        </w:rPr>
        <w:t xml:space="preserve"> </w:t>
      </w:r>
      <w:r>
        <w:rPr>
          <w:rFonts w:hint="eastAsia" w:ascii="仿宋" w:hAnsi="仿宋" w:eastAsia="仿宋" w:cs="仿宋"/>
          <w:color w:val="0C0C0C"/>
          <w:sz w:val="24"/>
          <w:szCs w:val="24"/>
          <w:u w:val="single"/>
        </w:rPr>
        <w:t xml:space="preserve"> </w:t>
      </w:r>
      <w:r>
        <w:rPr>
          <w:rFonts w:hint="default" w:hAnsi="仿宋" w:cs="仿宋"/>
          <w:color w:val="0C0C0C"/>
          <w:sz w:val="24"/>
          <w:szCs w:val="24"/>
          <w:u w:val="single"/>
        </w:rPr>
        <w:t xml:space="preserve">  </w:t>
      </w:r>
      <w:r>
        <w:rPr>
          <w:rFonts w:hint="default" w:hAnsi="宋体"/>
          <w:color w:val="0C0C0C"/>
          <w:spacing w:val="-2"/>
          <w:sz w:val="24"/>
          <w:szCs w:val="24"/>
        </w:rPr>
        <w:t>月</w:t>
      </w:r>
      <w:r>
        <w:rPr>
          <w:rFonts w:hint="default" w:ascii="仿宋_GB2312" w:hAnsi="仿宋_GB2312" w:eastAsia="仿宋_GB2312" w:cs="仿宋_GB2312"/>
          <w:color w:val="0C0C0C"/>
          <w:sz w:val="24"/>
          <w:szCs w:val="24"/>
          <w:u w:val="single"/>
        </w:rPr>
        <w:t xml:space="preserve"> </w:t>
      </w:r>
      <w:r>
        <w:rPr>
          <w:rFonts w:hint="default" w:hAnsi="仿宋" w:cs="仿宋"/>
          <w:color w:val="0C0C0C"/>
          <w:sz w:val="24"/>
          <w:szCs w:val="24"/>
          <w:u w:val="single"/>
        </w:rPr>
        <w:t xml:space="preserve">   </w:t>
      </w:r>
      <w:r>
        <w:rPr>
          <w:rFonts w:hint="default" w:hAnsi="宋体"/>
          <w:color w:val="0C0C0C"/>
          <w:spacing w:val="-2"/>
          <w:sz w:val="24"/>
          <w:szCs w:val="24"/>
        </w:rPr>
        <w:t>日</w:t>
      </w:r>
      <w:r>
        <w:rPr>
          <w:rFonts w:hint="default" w:hAnsi="宋体"/>
          <w:color w:val="0C0C0C"/>
          <w:sz w:val="24"/>
          <w:szCs w:val="24"/>
        </w:rPr>
        <w:t xml:space="preserve"> </w:t>
      </w:r>
      <w:r>
        <w:rPr>
          <w:rFonts w:hint="default" w:hAnsi="仿宋" w:cs="仿宋"/>
          <w:color w:val="0C0C0C"/>
          <w:sz w:val="24"/>
          <w:szCs w:val="24"/>
          <w:u w:val="single"/>
        </w:rPr>
        <w:t xml:space="preserve">    </w:t>
      </w:r>
      <w:r>
        <w:rPr>
          <w:rFonts w:hint="default" w:hAnsi="宋体"/>
          <w:color w:val="0C0C0C"/>
          <w:spacing w:val="-2"/>
          <w:sz w:val="24"/>
          <w:szCs w:val="24"/>
        </w:rPr>
        <w:t>时至</w:t>
      </w:r>
      <w:r>
        <w:rPr>
          <w:rFonts w:hint="default" w:ascii="仿宋_GB2312" w:hAnsi="仿宋_GB2312" w:eastAsia="仿宋_GB2312" w:cs="仿宋_GB2312"/>
          <w:color w:val="0C0C0C"/>
          <w:sz w:val="24"/>
          <w:szCs w:val="24"/>
          <w:u w:val="single"/>
        </w:rPr>
        <w:t xml:space="preserve">    </w:t>
      </w:r>
      <w:r>
        <w:rPr>
          <w:rFonts w:hint="default" w:hAnsi="宋体"/>
          <w:color w:val="0C0C0C"/>
          <w:spacing w:val="-2"/>
          <w:sz w:val="24"/>
          <w:szCs w:val="24"/>
        </w:rPr>
        <w:t>时通过</w:t>
      </w:r>
      <w:r>
        <w:rPr>
          <w:rFonts w:hint="default" w:hAnsi="宋体"/>
          <w:color w:val="0C0C0C"/>
          <w:sz w:val="24"/>
          <w:szCs w:val="24"/>
          <w:u w:val="single"/>
        </w:rPr>
        <w:t xml:space="preserve"> </w:t>
      </w:r>
      <w:r>
        <w:rPr>
          <w:rFonts w:hint="eastAsia" w:hAnsi="宋体"/>
          <w:color w:val="0C0C0C"/>
          <w:sz w:val="24"/>
          <w:szCs w:val="24"/>
          <w:u w:val="single"/>
          <w:lang w:val="en-US" w:eastAsia="zh-CN"/>
        </w:rPr>
        <w:t>电话</w:t>
      </w:r>
      <w:r>
        <w:rPr>
          <w:rFonts w:hint="default" w:hAnsi="宋体"/>
          <w:color w:val="0C0C0C"/>
          <w:sz w:val="24"/>
          <w:szCs w:val="24"/>
          <w:u w:val="single"/>
        </w:rPr>
        <w:t xml:space="preserve"> </w:t>
      </w:r>
      <w:r>
        <w:rPr>
          <w:rFonts w:hint="default" w:hAnsi="宋体"/>
          <w:color w:val="0C0C0C"/>
          <w:spacing w:val="-2"/>
          <w:sz w:val="24"/>
          <w:szCs w:val="24"/>
        </w:rPr>
        <w:t>方式商定。</w:t>
      </w:r>
    </w:p>
    <w:p w14:paraId="2616A26C">
      <w:pPr>
        <w:autoSpaceDE/>
        <w:autoSpaceDN/>
        <w:spacing w:beforeLines="0" w:afterLines="0" w:line="360" w:lineRule="auto"/>
        <w:ind w:left="456" w:leftChars="100" w:hanging="236" w:hangingChars="100"/>
        <w:rPr>
          <w:rFonts w:hint="default" w:hAnsi="宋体"/>
          <w:color w:val="0C0C0C"/>
          <w:spacing w:val="-2"/>
          <w:sz w:val="24"/>
          <w:szCs w:val="24"/>
        </w:rPr>
      </w:pPr>
      <w:r>
        <w:rPr>
          <w:rFonts w:hint="default" w:hAnsi="宋体"/>
          <w:color w:val="0C0C0C"/>
          <w:spacing w:val="-2"/>
          <w:sz w:val="24"/>
          <w:szCs w:val="24"/>
        </w:rPr>
        <w:t>16.3甲乙双方应当就签订本规格书的相关事宜保密，不得将签订主体、时间、内容等信息透露给其他第三人。</w:t>
      </w:r>
    </w:p>
    <w:p w14:paraId="44F88D21">
      <w:pPr>
        <w:autoSpaceDE/>
        <w:autoSpaceDN/>
        <w:spacing w:beforeLines="0" w:afterLines="0" w:line="360" w:lineRule="auto"/>
        <w:ind w:firstLine="236" w:firstLineChars="100"/>
        <w:rPr>
          <w:rFonts w:hint="default" w:hAnsi="宋体"/>
          <w:color w:val="0C0C0C"/>
          <w:sz w:val="24"/>
          <w:szCs w:val="24"/>
        </w:rPr>
      </w:pPr>
      <w:r>
        <w:rPr>
          <w:rFonts w:hint="default" w:hAnsi="宋体"/>
          <w:color w:val="0C0C0C"/>
          <w:spacing w:val="-2"/>
          <w:sz w:val="24"/>
          <w:szCs w:val="24"/>
        </w:rPr>
        <w:t>16.4若</w:t>
      </w:r>
      <w:r>
        <w:rPr>
          <w:rFonts w:hint="eastAsia" w:ascii="仿宋" w:hAnsi="仿宋" w:eastAsia="仿宋" w:cs="仿宋"/>
          <w:color w:val="0C0C0C"/>
          <w:sz w:val="24"/>
          <w:szCs w:val="24"/>
          <w:u w:val="single"/>
        </w:rPr>
        <w:t xml:space="preserve">                             </w:t>
      </w:r>
      <w:r>
        <w:rPr>
          <w:rFonts w:hint="default" w:hAnsi="宋体"/>
          <w:color w:val="0C0C0C"/>
          <w:spacing w:val="-2"/>
          <w:sz w:val="24"/>
          <w:szCs w:val="24"/>
        </w:rPr>
        <w:t>单位不中标，本技术规格书自动失效，双方互不承担任何责任。</w:t>
      </w:r>
    </w:p>
    <w:tbl>
      <w:tblPr>
        <w:tblStyle w:val="11"/>
        <w:tblpPr w:leftFromText="180" w:rightFromText="180" w:vertAnchor="text" w:horzAnchor="page" w:tblpXSpec="center" w:tblpY="261"/>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97"/>
        <w:gridCol w:w="4743"/>
      </w:tblGrid>
      <w:tr w14:paraId="04C1A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4" w:hRule="atLeast"/>
          <w:jc w:val="center"/>
        </w:trPr>
        <w:tc>
          <w:tcPr>
            <w:tcW w:w="4597" w:type="dxa"/>
            <w:tcBorders>
              <w:top w:val="nil"/>
              <w:left w:val="nil"/>
              <w:bottom w:val="nil"/>
              <w:right w:val="nil"/>
              <w:tl2br w:val="nil"/>
              <w:tr2bl w:val="nil"/>
            </w:tcBorders>
            <w:noWrap/>
            <w:vAlign w:val="center"/>
          </w:tcPr>
          <w:p w14:paraId="0923D68C">
            <w:pPr>
              <w:autoSpaceDE/>
              <w:autoSpaceDN/>
              <w:spacing w:beforeLines="0" w:afterLines="0" w:line="360" w:lineRule="auto"/>
              <w:rPr>
                <w:rFonts w:hint="default" w:hAnsi="宋体"/>
                <w:color w:val="0C0C0C"/>
                <w:spacing w:val="-2"/>
                <w:sz w:val="28"/>
                <w:szCs w:val="28"/>
              </w:rPr>
            </w:pPr>
            <w:r>
              <w:rPr>
                <w:rFonts w:hint="default" w:hAnsi="宋体"/>
                <w:color w:val="0C0C0C"/>
                <w:spacing w:val="-2"/>
                <w:sz w:val="28"/>
                <w:szCs w:val="28"/>
              </w:rPr>
              <w:t>甲方 （盖章）:酒钢（集团）宏联自控有限责任公司</w:t>
            </w:r>
          </w:p>
        </w:tc>
        <w:tc>
          <w:tcPr>
            <w:tcW w:w="4743" w:type="dxa"/>
            <w:tcBorders>
              <w:top w:val="nil"/>
              <w:left w:val="nil"/>
              <w:bottom w:val="nil"/>
              <w:right w:val="nil"/>
              <w:tl2br w:val="nil"/>
              <w:tr2bl w:val="nil"/>
            </w:tcBorders>
            <w:noWrap/>
            <w:vAlign w:val="center"/>
          </w:tcPr>
          <w:p w14:paraId="4CE7F6BA">
            <w:pPr>
              <w:autoSpaceDE/>
              <w:autoSpaceDN/>
              <w:spacing w:beforeLines="0" w:afterLines="0" w:line="360" w:lineRule="auto"/>
              <w:ind w:firstLine="828" w:firstLineChars="300"/>
              <w:rPr>
                <w:rFonts w:hint="default" w:hAnsi="宋体"/>
                <w:color w:val="0C0C0C"/>
                <w:spacing w:val="-2"/>
                <w:sz w:val="28"/>
                <w:szCs w:val="28"/>
              </w:rPr>
            </w:pPr>
            <w:r>
              <w:rPr>
                <w:rFonts w:hint="default" w:hAnsi="宋体"/>
                <w:color w:val="0C0C0C"/>
                <w:spacing w:val="-2"/>
                <w:sz w:val="28"/>
                <w:szCs w:val="28"/>
              </w:rPr>
              <w:t>乙方（盖章）:</w:t>
            </w:r>
          </w:p>
        </w:tc>
      </w:tr>
      <w:tr w14:paraId="1BF92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jc w:val="center"/>
        </w:trPr>
        <w:tc>
          <w:tcPr>
            <w:tcW w:w="4597" w:type="dxa"/>
            <w:tcBorders>
              <w:top w:val="nil"/>
              <w:left w:val="nil"/>
              <w:bottom w:val="nil"/>
              <w:right w:val="nil"/>
              <w:tl2br w:val="nil"/>
              <w:tr2bl w:val="nil"/>
            </w:tcBorders>
            <w:noWrap/>
            <w:vAlign w:val="center"/>
          </w:tcPr>
          <w:p w14:paraId="064A2196">
            <w:pPr>
              <w:autoSpaceDE/>
              <w:autoSpaceDN/>
              <w:spacing w:beforeLines="0" w:afterLines="0" w:line="360" w:lineRule="auto"/>
              <w:ind w:firstLine="276" w:firstLineChars="100"/>
              <w:rPr>
                <w:rFonts w:hint="default" w:hAnsi="宋体"/>
                <w:color w:val="0C0C0C"/>
                <w:spacing w:val="-2"/>
                <w:sz w:val="28"/>
                <w:szCs w:val="28"/>
              </w:rPr>
            </w:pPr>
            <w:r>
              <w:rPr>
                <w:rFonts w:hint="default" w:hAnsi="宋体"/>
                <w:color w:val="0C0C0C"/>
                <w:spacing w:val="-2"/>
                <w:sz w:val="28"/>
                <w:szCs w:val="28"/>
              </w:rPr>
              <w:t>委托代理人：</w:t>
            </w:r>
          </w:p>
        </w:tc>
        <w:tc>
          <w:tcPr>
            <w:tcW w:w="4743" w:type="dxa"/>
            <w:tcBorders>
              <w:top w:val="nil"/>
              <w:left w:val="nil"/>
              <w:bottom w:val="nil"/>
              <w:right w:val="nil"/>
              <w:tl2br w:val="nil"/>
              <w:tr2bl w:val="nil"/>
            </w:tcBorders>
            <w:noWrap/>
            <w:vAlign w:val="center"/>
          </w:tcPr>
          <w:p w14:paraId="21401A6A">
            <w:pPr>
              <w:autoSpaceDE/>
              <w:autoSpaceDN/>
              <w:spacing w:beforeLines="0" w:afterLines="0" w:line="360" w:lineRule="auto"/>
              <w:ind w:firstLine="828" w:firstLineChars="300"/>
              <w:rPr>
                <w:rFonts w:hint="default" w:hAnsi="宋体"/>
                <w:color w:val="0C0C0C"/>
                <w:spacing w:val="-2"/>
                <w:sz w:val="28"/>
                <w:szCs w:val="28"/>
              </w:rPr>
            </w:pPr>
            <w:r>
              <w:rPr>
                <w:rFonts w:hint="default" w:hAnsi="宋体"/>
                <w:color w:val="0C0C0C"/>
                <w:spacing w:val="-2"/>
                <w:sz w:val="28"/>
                <w:szCs w:val="28"/>
              </w:rPr>
              <w:t>委托代理人：</w:t>
            </w:r>
          </w:p>
        </w:tc>
      </w:tr>
      <w:tr w14:paraId="7F3E1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597" w:type="dxa"/>
            <w:tcBorders>
              <w:top w:val="nil"/>
              <w:left w:val="nil"/>
              <w:bottom w:val="nil"/>
              <w:right w:val="nil"/>
              <w:tl2br w:val="nil"/>
              <w:tr2bl w:val="nil"/>
            </w:tcBorders>
            <w:noWrap/>
            <w:vAlign w:val="center"/>
          </w:tcPr>
          <w:p w14:paraId="638DEC7A">
            <w:pPr>
              <w:autoSpaceDE/>
              <w:autoSpaceDN/>
              <w:spacing w:beforeLines="0" w:afterLines="0" w:line="360" w:lineRule="auto"/>
              <w:ind w:firstLine="276" w:firstLineChars="100"/>
              <w:rPr>
                <w:rFonts w:hint="default" w:hAnsi="宋体"/>
                <w:color w:val="0C0C0C"/>
                <w:spacing w:val="-2"/>
                <w:sz w:val="28"/>
                <w:szCs w:val="28"/>
              </w:rPr>
            </w:pPr>
            <w:r>
              <w:rPr>
                <w:rFonts w:hint="default" w:hAnsi="宋体"/>
                <w:color w:val="0C0C0C"/>
                <w:spacing w:val="-2"/>
                <w:sz w:val="28"/>
                <w:szCs w:val="28"/>
              </w:rPr>
              <w:t>日期：</w:t>
            </w:r>
          </w:p>
        </w:tc>
        <w:tc>
          <w:tcPr>
            <w:tcW w:w="4743" w:type="dxa"/>
            <w:tcBorders>
              <w:top w:val="nil"/>
              <w:left w:val="nil"/>
              <w:bottom w:val="nil"/>
              <w:right w:val="nil"/>
              <w:tl2br w:val="nil"/>
              <w:tr2bl w:val="nil"/>
            </w:tcBorders>
            <w:noWrap/>
            <w:vAlign w:val="center"/>
          </w:tcPr>
          <w:p w14:paraId="69622F2C">
            <w:pPr>
              <w:autoSpaceDE/>
              <w:autoSpaceDN/>
              <w:spacing w:beforeLines="0" w:afterLines="0" w:line="360" w:lineRule="auto"/>
              <w:ind w:firstLine="828" w:firstLineChars="300"/>
              <w:rPr>
                <w:rFonts w:hint="default" w:hAnsi="宋体"/>
                <w:color w:val="0C0C0C"/>
                <w:spacing w:val="-2"/>
                <w:sz w:val="28"/>
                <w:szCs w:val="28"/>
              </w:rPr>
            </w:pPr>
            <w:r>
              <w:rPr>
                <w:rFonts w:hint="default" w:hAnsi="宋体"/>
                <w:color w:val="0C0C0C"/>
                <w:spacing w:val="-2"/>
                <w:sz w:val="28"/>
                <w:szCs w:val="28"/>
              </w:rPr>
              <w:t xml:space="preserve">日期： </w:t>
            </w:r>
          </w:p>
        </w:tc>
      </w:tr>
    </w:tbl>
    <w:p w14:paraId="0040394B">
      <w:pPr>
        <w:keepNext/>
        <w:kinsoku w:val="0"/>
        <w:overflowPunct w:val="0"/>
        <w:snapToGrid w:val="0"/>
        <w:spacing w:before="167" w:beforeLines="0" w:afterLines="0"/>
        <w:ind w:left="684"/>
        <w:textAlignment w:val="baseline"/>
        <w:rPr>
          <w:rFonts w:hint="default" w:hAnsi="宋体"/>
          <w:color w:val="0C0C0C"/>
          <w:spacing w:val="-9"/>
          <w:sz w:val="28"/>
          <w:szCs w:val="28"/>
          <w:highlight w:val="cyan"/>
        </w:rPr>
      </w:pPr>
    </w:p>
    <w:sectPr>
      <w:headerReference r:id="rId4" w:type="default"/>
      <w:footerReference r:id="rId5" w:type="default"/>
      <w:pgSz w:w="11910" w:h="16840"/>
      <w:pgMar w:top="1120" w:right="880" w:bottom="1020" w:left="1200" w:header="595" w:footer="822"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19F"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935B8">
    <w:pPr>
      <w:pStyle w:val="7"/>
      <w:spacing w:beforeLines="0" w:afterLines="0"/>
      <w:rPr>
        <w:rFonts w:hint="default"/>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0B999">
    <w:pPr>
      <w:pStyle w:val="5"/>
      <w:kinsoku w:val="0"/>
      <w:overflowPunct w:val="0"/>
      <w:spacing w:beforeLines="0" w:afterLines="0" w:line="14" w:lineRule="auto"/>
      <w:ind w:left="0" w:firstLine="0"/>
      <w:rPr>
        <w:rFonts w:hint="eastAsia" w:ascii="Times New Roman" w:eastAsia="Times New Roman" w:cs="Times New Roman"/>
        <w:sz w:val="20"/>
        <w:szCs w:val="20"/>
      </w:rPr>
    </w:pPr>
    <w:r>
      <w:rPr>
        <w:rFonts w:hint="default"/>
        <w:sz w:val="28"/>
        <w:szCs w:val="28"/>
      </w:rPr>
      <mc:AlternateContent>
        <mc:Choice Requires="wps">
          <w:drawing>
            <wp:anchor distT="0" distB="0" distL="114300" distR="114300" simplePos="0" relativeHeight="251659264" behindDoc="1" locked="0" layoutInCell="0" allowOverlap="1">
              <wp:simplePos x="0" y="0"/>
              <wp:positionH relativeFrom="page">
                <wp:posOffset>887730</wp:posOffset>
              </wp:positionH>
              <wp:positionV relativeFrom="page">
                <wp:posOffset>365125</wp:posOffset>
              </wp:positionV>
              <wp:extent cx="1854200" cy="1397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54200" cy="139700"/>
                      </a:xfrm>
                      <a:prstGeom prst="rect">
                        <a:avLst/>
                      </a:prstGeom>
                      <a:noFill/>
                      <a:ln>
                        <a:noFill/>
                      </a:ln>
                    </wps:spPr>
                    <wps:txbx>
                      <w:txbxContent>
                        <w:p w14:paraId="11155D5E">
                          <w:pPr>
                            <w:spacing w:beforeLines="0" w:afterLines="0"/>
                            <w:rPr>
                              <w:rFonts w:hint="default"/>
                              <w:sz w:val="22"/>
                              <w:szCs w:val="22"/>
                            </w:rPr>
                          </w:pPr>
                        </w:p>
                      </w:txbxContent>
                    </wps:txbx>
                    <wps:bodyPr wrap="square" lIns="0" tIns="0" rIns="0" bIns="0" upright="1"/>
                  </wps:wsp>
                </a:graphicData>
              </a:graphic>
            </wp:anchor>
          </w:drawing>
        </mc:Choice>
        <mc:Fallback>
          <w:pict>
            <v:shape id="文本框 3" o:spid="_x0000_s1026" o:spt="202" type="#_x0000_t202" style="position:absolute;left:0pt;margin-left:69.9pt;margin-top:28.75pt;height:11pt;width:146pt;mso-position-horizontal-relative:page;mso-position-vertical-relative:page;z-index:-251657216;mso-width-relative:page;mso-height-relative:page;" filled="f" stroked="f" coordsize="21600,21600" o:allowincell="f" o:gfxdata="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ZiU/vYAAAACQEAAA8AAAAAAAAAAQAgAAAAIgAAAGRycy9kb3ducmV2&#10;LnhtbFBLAQIUABQAAAAIAIdO4kBWmWCIwwEAAIADAAAOAAAAAAAAAAEAIAAAACcBAABkcnMvZTJv&#10;RG9jLnhtbFBLBQYAAAAABgAGAFkBAABcBQAAAAA=&#10;">
              <v:fill on="f" focussize="0,0"/>
              <v:stroke on="f"/>
              <v:imagedata o:title=""/>
              <o:lock v:ext="edit" aspectratio="f"/>
              <v:textbox inset="0mm,0mm,0mm,0mm">
                <w:txbxContent>
                  <w:p w14:paraId="11155D5E">
                    <w:pPr>
                      <w:spacing w:beforeLines="0" w:afterLines="0"/>
                      <w:rPr>
                        <w:rFonts w:hint="default"/>
                        <w:sz w:val="22"/>
                        <w:szCs w:val="22"/>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403"/>
    <w:multiLevelType w:val="multilevel"/>
    <w:tmpl w:val="00000403"/>
    <w:lvl w:ilvl="0" w:tentative="0">
      <w:start w:val="1"/>
      <w:numFmt w:val="decimal"/>
      <w:lvlText w:val="%1"/>
      <w:lvlJc w:val="left"/>
      <w:pPr>
        <w:ind w:left="720" w:hanging="322"/>
      </w:pPr>
      <w:rPr>
        <w:rFonts w:hint="default" w:ascii="Calibri" w:hAnsi="Times New Roman" w:eastAsia="宋体" w:cs="Calibri"/>
        <w:b/>
        <w:w w:val="99"/>
        <w:sz w:val="32"/>
        <w:szCs w:val="32"/>
        <w:u w:val="none" w:color="auto"/>
      </w:rPr>
    </w:lvl>
    <w:lvl w:ilvl="1" w:tentative="0">
      <w:start w:val="1"/>
      <w:numFmt w:val="decimal"/>
      <w:lvlText w:val="%1.%2"/>
      <w:lvlJc w:val="left"/>
      <w:pPr>
        <w:ind w:left="926" w:hanging="528"/>
      </w:pPr>
      <w:rPr>
        <w:rFonts w:hint="default" w:cs="Times New Roman"/>
        <w:spacing w:val="-1"/>
        <w:u w:val="none" w:color="auto"/>
      </w:rPr>
    </w:lvl>
    <w:lvl w:ilvl="2" w:tentative="0">
      <w:start w:val="1"/>
      <w:numFmt w:val="decimal"/>
      <w:lvlText w:val="%1.%2.%3"/>
      <w:lvlJc w:val="left"/>
      <w:pPr>
        <w:ind w:left="1548" w:hanging="771"/>
      </w:pPr>
      <w:rPr>
        <w:rFonts w:hint="default" w:cs="Times New Roman"/>
        <w:spacing w:val="-2"/>
        <w:u w:val="none" w:color="auto"/>
      </w:rPr>
    </w:lvl>
    <w:lvl w:ilvl="3" w:tentative="0">
      <w:start w:val="1"/>
      <w:numFmt w:val="decimal"/>
      <w:lvlText w:val="（%4）"/>
      <w:lvlJc w:val="left"/>
      <w:pPr>
        <w:ind w:left="398" w:hanging="771"/>
      </w:pPr>
      <w:rPr>
        <w:rFonts w:hint="default" w:ascii="宋体" w:hAnsi="Times New Roman" w:eastAsia="宋体" w:cs="宋体"/>
        <w:spacing w:val="-82"/>
        <w:sz w:val="26"/>
        <w:szCs w:val="26"/>
        <w:u w:val="none" w:color="auto"/>
      </w:rPr>
    </w:lvl>
    <w:lvl w:ilvl="4" w:tentative="0">
      <w:start w:val="0"/>
      <w:numFmt w:val="bullet"/>
      <w:lvlText w:val="•"/>
      <w:lvlJc w:val="left"/>
      <w:pPr>
        <w:ind w:left="1620" w:hanging="771"/>
      </w:pPr>
      <w:rPr>
        <w:rFonts w:hint="default"/>
        <w:u w:val="none" w:color="auto"/>
      </w:rPr>
    </w:lvl>
    <w:lvl w:ilvl="5" w:tentative="0">
      <w:start w:val="0"/>
      <w:numFmt w:val="bullet"/>
      <w:lvlText w:val="•"/>
      <w:lvlJc w:val="left"/>
      <w:pPr>
        <w:ind w:left="1660" w:hanging="771"/>
      </w:pPr>
      <w:rPr>
        <w:rFonts w:hint="default"/>
        <w:u w:val="none" w:color="auto"/>
      </w:rPr>
    </w:lvl>
    <w:lvl w:ilvl="6" w:tentative="0">
      <w:start w:val="0"/>
      <w:numFmt w:val="bullet"/>
      <w:lvlText w:val="•"/>
      <w:lvlJc w:val="left"/>
      <w:pPr>
        <w:ind w:left="1720" w:hanging="771"/>
      </w:pPr>
      <w:rPr>
        <w:rFonts w:hint="default"/>
        <w:u w:val="none" w:color="auto"/>
      </w:rPr>
    </w:lvl>
    <w:lvl w:ilvl="7" w:tentative="0">
      <w:start w:val="0"/>
      <w:numFmt w:val="bullet"/>
      <w:lvlText w:val="•"/>
      <w:lvlJc w:val="left"/>
      <w:pPr>
        <w:ind w:left="1740" w:hanging="771"/>
      </w:pPr>
      <w:rPr>
        <w:rFonts w:hint="default"/>
        <w:u w:val="none" w:color="auto"/>
      </w:rPr>
    </w:lvl>
    <w:lvl w:ilvl="8" w:tentative="0">
      <w:start w:val="0"/>
      <w:numFmt w:val="bullet"/>
      <w:lvlText w:val="•"/>
      <w:lvlJc w:val="left"/>
      <w:pPr>
        <w:ind w:left="1800" w:hanging="771"/>
      </w:pPr>
      <w:rPr>
        <w:rFonts w:hint="default"/>
        <w:u w:val="none" w:color="auto"/>
      </w:rPr>
    </w:lvl>
  </w:abstractNum>
  <w:abstractNum w:abstractNumId="1">
    <w:nsid w:val="0000044F"/>
    <w:multiLevelType w:val="multilevel"/>
    <w:tmpl w:val="0000044F"/>
    <w:lvl w:ilvl="0" w:tentative="0">
      <w:start w:val="1"/>
      <w:numFmt w:val="decimal"/>
      <w:lvlText w:val="（%1）"/>
      <w:lvlJc w:val="left"/>
      <w:pPr>
        <w:ind w:left="218" w:hanging="711"/>
      </w:pPr>
      <w:rPr>
        <w:rFonts w:hint="default" w:ascii="宋体" w:hAnsi="Times New Roman" w:eastAsia="宋体" w:cs="宋体"/>
        <w:spacing w:val="2"/>
        <w:sz w:val="26"/>
        <w:szCs w:val="26"/>
        <w:u w:val="none" w:color="auto"/>
      </w:rPr>
    </w:lvl>
    <w:lvl w:ilvl="1" w:tentative="0">
      <w:start w:val="0"/>
      <w:numFmt w:val="bullet"/>
      <w:lvlText w:val="•"/>
      <w:lvlJc w:val="left"/>
      <w:pPr>
        <w:ind w:left="1180" w:hanging="711"/>
      </w:pPr>
      <w:rPr>
        <w:rFonts w:hint="default"/>
        <w:u w:val="none" w:color="auto"/>
      </w:rPr>
    </w:lvl>
    <w:lvl w:ilvl="2" w:tentative="0">
      <w:start w:val="0"/>
      <w:numFmt w:val="bullet"/>
      <w:lvlText w:val="•"/>
      <w:lvlJc w:val="left"/>
      <w:pPr>
        <w:ind w:left="2141" w:hanging="711"/>
      </w:pPr>
      <w:rPr>
        <w:rFonts w:hint="default"/>
        <w:u w:val="none" w:color="auto"/>
      </w:rPr>
    </w:lvl>
    <w:lvl w:ilvl="3" w:tentative="0">
      <w:start w:val="0"/>
      <w:numFmt w:val="bullet"/>
      <w:lvlText w:val="•"/>
      <w:lvlJc w:val="left"/>
      <w:pPr>
        <w:ind w:left="3101" w:hanging="711"/>
      </w:pPr>
      <w:rPr>
        <w:rFonts w:hint="default"/>
        <w:u w:val="none" w:color="auto"/>
      </w:rPr>
    </w:lvl>
    <w:lvl w:ilvl="4" w:tentative="0">
      <w:start w:val="0"/>
      <w:numFmt w:val="bullet"/>
      <w:lvlText w:val="•"/>
      <w:lvlJc w:val="left"/>
      <w:pPr>
        <w:ind w:left="4062" w:hanging="711"/>
      </w:pPr>
      <w:rPr>
        <w:rFonts w:hint="default"/>
        <w:u w:val="none" w:color="auto"/>
      </w:rPr>
    </w:lvl>
    <w:lvl w:ilvl="5" w:tentative="0">
      <w:start w:val="0"/>
      <w:numFmt w:val="bullet"/>
      <w:lvlText w:val="•"/>
      <w:lvlJc w:val="left"/>
      <w:pPr>
        <w:ind w:left="5023" w:hanging="711"/>
      </w:pPr>
      <w:rPr>
        <w:rFonts w:hint="default"/>
        <w:u w:val="none" w:color="auto"/>
      </w:rPr>
    </w:lvl>
    <w:lvl w:ilvl="6" w:tentative="0">
      <w:start w:val="0"/>
      <w:numFmt w:val="bullet"/>
      <w:lvlText w:val="•"/>
      <w:lvlJc w:val="left"/>
      <w:pPr>
        <w:ind w:left="5983" w:hanging="711"/>
      </w:pPr>
      <w:rPr>
        <w:rFonts w:hint="default"/>
        <w:u w:val="none" w:color="auto"/>
      </w:rPr>
    </w:lvl>
    <w:lvl w:ilvl="7" w:tentative="0">
      <w:start w:val="0"/>
      <w:numFmt w:val="bullet"/>
      <w:lvlText w:val="•"/>
      <w:lvlJc w:val="left"/>
      <w:pPr>
        <w:ind w:left="6944" w:hanging="711"/>
      </w:pPr>
      <w:rPr>
        <w:rFonts w:hint="default"/>
        <w:u w:val="none" w:color="auto"/>
      </w:rPr>
    </w:lvl>
    <w:lvl w:ilvl="8" w:tentative="0">
      <w:start w:val="0"/>
      <w:numFmt w:val="bullet"/>
      <w:lvlText w:val="•"/>
      <w:lvlJc w:val="left"/>
      <w:pPr>
        <w:ind w:left="7904" w:hanging="711"/>
      </w:pPr>
      <w:rPr>
        <w:rFonts w:hint="default"/>
        <w:u w:val="none" w:color="auto"/>
      </w:rPr>
    </w:lvl>
  </w:abstractNum>
  <w:abstractNum w:abstractNumId="2">
    <w:nsid w:val="00000451"/>
    <w:multiLevelType w:val="multilevel"/>
    <w:tmpl w:val="00000451"/>
    <w:lvl w:ilvl="0" w:tentative="0">
      <w:start w:val="1"/>
      <w:numFmt w:val="decimal"/>
      <w:lvlText w:val="（%1）"/>
      <w:lvlJc w:val="left"/>
      <w:pPr>
        <w:ind w:left="1583" w:hanging="702"/>
      </w:pPr>
      <w:rPr>
        <w:rFonts w:hint="default" w:ascii="宋体" w:hAnsi="Times New Roman" w:eastAsia="宋体" w:cs="宋体"/>
        <w:spacing w:val="-2"/>
        <w:sz w:val="26"/>
        <w:szCs w:val="26"/>
        <w:u w:val="none" w:color="auto"/>
      </w:rPr>
    </w:lvl>
    <w:lvl w:ilvl="1" w:tentative="0">
      <w:start w:val="0"/>
      <w:numFmt w:val="bullet"/>
      <w:lvlText w:val="•"/>
      <w:lvlJc w:val="left"/>
      <w:pPr>
        <w:ind w:left="1584" w:hanging="702"/>
      </w:pPr>
      <w:rPr>
        <w:rFonts w:hint="default"/>
        <w:u w:val="none" w:color="auto"/>
      </w:rPr>
    </w:lvl>
    <w:lvl w:ilvl="2" w:tentative="0">
      <w:start w:val="0"/>
      <w:numFmt w:val="bullet"/>
      <w:lvlText w:val="•"/>
      <w:lvlJc w:val="left"/>
      <w:pPr>
        <w:ind w:left="2511" w:hanging="702"/>
      </w:pPr>
      <w:rPr>
        <w:rFonts w:hint="default"/>
        <w:u w:val="none" w:color="auto"/>
      </w:rPr>
    </w:lvl>
    <w:lvl w:ilvl="3" w:tentative="0">
      <w:start w:val="0"/>
      <w:numFmt w:val="bullet"/>
      <w:lvlText w:val="•"/>
      <w:lvlJc w:val="left"/>
      <w:pPr>
        <w:ind w:left="3438" w:hanging="702"/>
      </w:pPr>
      <w:rPr>
        <w:rFonts w:hint="default"/>
        <w:u w:val="none" w:color="auto"/>
      </w:rPr>
    </w:lvl>
    <w:lvl w:ilvl="4" w:tentative="0">
      <w:start w:val="0"/>
      <w:numFmt w:val="bullet"/>
      <w:lvlText w:val="•"/>
      <w:lvlJc w:val="left"/>
      <w:pPr>
        <w:ind w:left="4366" w:hanging="702"/>
      </w:pPr>
      <w:rPr>
        <w:rFonts w:hint="default"/>
        <w:u w:val="none" w:color="auto"/>
      </w:rPr>
    </w:lvl>
    <w:lvl w:ilvl="5" w:tentative="0">
      <w:start w:val="0"/>
      <w:numFmt w:val="bullet"/>
      <w:lvlText w:val="•"/>
      <w:lvlJc w:val="left"/>
      <w:pPr>
        <w:ind w:left="5293" w:hanging="702"/>
      </w:pPr>
      <w:rPr>
        <w:rFonts w:hint="default"/>
        <w:u w:val="none" w:color="auto"/>
      </w:rPr>
    </w:lvl>
    <w:lvl w:ilvl="6" w:tentative="0">
      <w:start w:val="0"/>
      <w:numFmt w:val="bullet"/>
      <w:lvlText w:val="•"/>
      <w:lvlJc w:val="left"/>
      <w:pPr>
        <w:ind w:left="6220" w:hanging="702"/>
      </w:pPr>
      <w:rPr>
        <w:rFonts w:hint="default"/>
        <w:u w:val="none" w:color="auto"/>
      </w:rPr>
    </w:lvl>
    <w:lvl w:ilvl="7" w:tentative="0">
      <w:start w:val="0"/>
      <w:numFmt w:val="bullet"/>
      <w:lvlText w:val="•"/>
      <w:lvlJc w:val="left"/>
      <w:pPr>
        <w:ind w:left="7148" w:hanging="702"/>
      </w:pPr>
      <w:rPr>
        <w:rFonts w:hint="default"/>
        <w:u w:val="none" w:color="auto"/>
      </w:rPr>
    </w:lvl>
    <w:lvl w:ilvl="8" w:tentative="0">
      <w:start w:val="0"/>
      <w:numFmt w:val="bullet"/>
      <w:lvlText w:val="•"/>
      <w:lvlJc w:val="left"/>
      <w:pPr>
        <w:ind w:left="8075" w:hanging="702"/>
      </w:pPr>
      <w:rPr>
        <w:rFonts w:hint="default"/>
        <w:u w:val="none" w:color="auto"/>
      </w:rPr>
    </w:lvl>
  </w:abstractNum>
  <w:abstractNum w:abstractNumId="3">
    <w:nsid w:val="00000452"/>
    <w:multiLevelType w:val="multilevel"/>
    <w:tmpl w:val="00000452"/>
    <w:lvl w:ilvl="0" w:tentative="0">
      <w:start w:val="1"/>
      <w:numFmt w:val="decimal"/>
      <w:lvlText w:val="%1）"/>
      <w:lvlJc w:val="left"/>
      <w:pPr>
        <w:ind w:left="218" w:hanging="422"/>
      </w:pPr>
      <w:rPr>
        <w:rFonts w:hint="default" w:ascii="宋体" w:hAnsi="Times New Roman" w:eastAsia="宋体" w:cs="宋体"/>
        <w:spacing w:val="-56"/>
        <w:sz w:val="26"/>
        <w:szCs w:val="26"/>
        <w:u w:val="none" w:color="auto"/>
      </w:rPr>
    </w:lvl>
    <w:lvl w:ilvl="1" w:tentative="0">
      <w:start w:val="0"/>
      <w:numFmt w:val="bullet"/>
      <w:lvlText w:val="•"/>
      <w:lvlJc w:val="left"/>
      <w:pPr>
        <w:ind w:left="1180" w:hanging="422"/>
      </w:pPr>
      <w:rPr>
        <w:rFonts w:hint="default"/>
        <w:u w:val="none" w:color="auto"/>
      </w:rPr>
    </w:lvl>
    <w:lvl w:ilvl="2" w:tentative="0">
      <w:start w:val="0"/>
      <w:numFmt w:val="bullet"/>
      <w:lvlText w:val="•"/>
      <w:lvlJc w:val="left"/>
      <w:pPr>
        <w:ind w:left="2141" w:hanging="422"/>
      </w:pPr>
      <w:rPr>
        <w:rFonts w:hint="default"/>
        <w:u w:val="none" w:color="auto"/>
      </w:rPr>
    </w:lvl>
    <w:lvl w:ilvl="3" w:tentative="0">
      <w:start w:val="0"/>
      <w:numFmt w:val="bullet"/>
      <w:lvlText w:val="•"/>
      <w:lvlJc w:val="left"/>
      <w:pPr>
        <w:ind w:left="3101" w:hanging="422"/>
      </w:pPr>
      <w:rPr>
        <w:rFonts w:hint="default"/>
        <w:u w:val="none" w:color="auto"/>
      </w:rPr>
    </w:lvl>
    <w:lvl w:ilvl="4" w:tentative="0">
      <w:start w:val="0"/>
      <w:numFmt w:val="bullet"/>
      <w:lvlText w:val="•"/>
      <w:lvlJc w:val="left"/>
      <w:pPr>
        <w:ind w:left="4062" w:hanging="422"/>
      </w:pPr>
      <w:rPr>
        <w:rFonts w:hint="default"/>
        <w:u w:val="none" w:color="auto"/>
      </w:rPr>
    </w:lvl>
    <w:lvl w:ilvl="5" w:tentative="0">
      <w:start w:val="0"/>
      <w:numFmt w:val="bullet"/>
      <w:lvlText w:val="•"/>
      <w:lvlJc w:val="left"/>
      <w:pPr>
        <w:ind w:left="5023" w:hanging="422"/>
      </w:pPr>
      <w:rPr>
        <w:rFonts w:hint="default"/>
        <w:u w:val="none" w:color="auto"/>
      </w:rPr>
    </w:lvl>
    <w:lvl w:ilvl="6" w:tentative="0">
      <w:start w:val="0"/>
      <w:numFmt w:val="bullet"/>
      <w:lvlText w:val="•"/>
      <w:lvlJc w:val="left"/>
      <w:pPr>
        <w:ind w:left="5983" w:hanging="422"/>
      </w:pPr>
      <w:rPr>
        <w:rFonts w:hint="default"/>
        <w:u w:val="none" w:color="auto"/>
      </w:rPr>
    </w:lvl>
    <w:lvl w:ilvl="7" w:tentative="0">
      <w:start w:val="0"/>
      <w:numFmt w:val="bullet"/>
      <w:lvlText w:val="•"/>
      <w:lvlJc w:val="left"/>
      <w:pPr>
        <w:ind w:left="6944" w:hanging="422"/>
      </w:pPr>
      <w:rPr>
        <w:rFonts w:hint="default"/>
        <w:u w:val="none" w:color="auto"/>
      </w:rPr>
    </w:lvl>
    <w:lvl w:ilvl="8" w:tentative="0">
      <w:start w:val="0"/>
      <w:numFmt w:val="bullet"/>
      <w:lvlText w:val="•"/>
      <w:lvlJc w:val="left"/>
      <w:pPr>
        <w:ind w:left="7904" w:hanging="422"/>
      </w:pPr>
      <w:rPr>
        <w:rFonts w:hint="default"/>
        <w:u w:val="none" w:color="auto"/>
      </w:rPr>
    </w:lvl>
  </w:abstractNum>
  <w:abstractNum w:abstractNumId="4">
    <w:nsid w:val="00000453"/>
    <w:multiLevelType w:val="multilevel"/>
    <w:tmpl w:val="00000453"/>
    <w:lvl w:ilvl="0" w:tentative="0">
      <w:start w:val="1"/>
      <w:numFmt w:val="decimal"/>
      <w:lvlText w:val="%1）"/>
      <w:lvlJc w:val="left"/>
      <w:pPr>
        <w:ind w:left="218" w:hanging="422"/>
      </w:pPr>
      <w:rPr>
        <w:rFonts w:hint="default" w:ascii="宋体" w:hAnsi="Times New Roman" w:eastAsia="宋体" w:cs="宋体"/>
        <w:spacing w:val="-8"/>
        <w:sz w:val="26"/>
        <w:szCs w:val="26"/>
        <w:u w:val="none" w:color="auto"/>
      </w:rPr>
    </w:lvl>
    <w:lvl w:ilvl="1" w:tentative="0">
      <w:start w:val="0"/>
      <w:numFmt w:val="bullet"/>
      <w:lvlText w:val="•"/>
      <w:lvlJc w:val="left"/>
      <w:pPr>
        <w:ind w:left="1180" w:hanging="422"/>
      </w:pPr>
      <w:rPr>
        <w:rFonts w:hint="default"/>
        <w:u w:val="none" w:color="auto"/>
      </w:rPr>
    </w:lvl>
    <w:lvl w:ilvl="2" w:tentative="0">
      <w:start w:val="0"/>
      <w:numFmt w:val="bullet"/>
      <w:lvlText w:val="•"/>
      <w:lvlJc w:val="left"/>
      <w:pPr>
        <w:ind w:left="2141" w:hanging="422"/>
      </w:pPr>
      <w:rPr>
        <w:rFonts w:hint="default"/>
        <w:u w:val="none" w:color="auto"/>
      </w:rPr>
    </w:lvl>
    <w:lvl w:ilvl="3" w:tentative="0">
      <w:start w:val="0"/>
      <w:numFmt w:val="bullet"/>
      <w:lvlText w:val="•"/>
      <w:lvlJc w:val="left"/>
      <w:pPr>
        <w:ind w:left="3101" w:hanging="422"/>
      </w:pPr>
      <w:rPr>
        <w:rFonts w:hint="default"/>
        <w:u w:val="none" w:color="auto"/>
      </w:rPr>
    </w:lvl>
    <w:lvl w:ilvl="4" w:tentative="0">
      <w:start w:val="0"/>
      <w:numFmt w:val="bullet"/>
      <w:lvlText w:val="•"/>
      <w:lvlJc w:val="left"/>
      <w:pPr>
        <w:ind w:left="4062" w:hanging="422"/>
      </w:pPr>
      <w:rPr>
        <w:rFonts w:hint="default"/>
        <w:u w:val="none" w:color="auto"/>
      </w:rPr>
    </w:lvl>
    <w:lvl w:ilvl="5" w:tentative="0">
      <w:start w:val="0"/>
      <w:numFmt w:val="bullet"/>
      <w:lvlText w:val="•"/>
      <w:lvlJc w:val="left"/>
      <w:pPr>
        <w:ind w:left="5023" w:hanging="422"/>
      </w:pPr>
      <w:rPr>
        <w:rFonts w:hint="default"/>
        <w:u w:val="none" w:color="auto"/>
      </w:rPr>
    </w:lvl>
    <w:lvl w:ilvl="6" w:tentative="0">
      <w:start w:val="0"/>
      <w:numFmt w:val="bullet"/>
      <w:lvlText w:val="•"/>
      <w:lvlJc w:val="left"/>
      <w:pPr>
        <w:ind w:left="5983" w:hanging="422"/>
      </w:pPr>
      <w:rPr>
        <w:rFonts w:hint="default"/>
        <w:u w:val="none" w:color="auto"/>
      </w:rPr>
    </w:lvl>
    <w:lvl w:ilvl="7" w:tentative="0">
      <w:start w:val="0"/>
      <w:numFmt w:val="bullet"/>
      <w:lvlText w:val="•"/>
      <w:lvlJc w:val="left"/>
      <w:pPr>
        <w:ind w:left="6944" w:hanging="422"/>
      </w:pPr>
      <w:rPr>
        <w:rFonts w:hint="default"/>
        <w:u w:val="none" w:color="auto"/>
      </w:rPr>
    </w:lvl>
    <w:lvl w:ilvl="8" w:tentative="0">
      <w:start w:val="0"/>
      <w:numFmt w:val="bullet"/>
      <w:lvlText w:val="•"/>
      <w:lvlJc w:val="left"/>
      <w:pPr>
        <w:ind w:left="7904" w:hanging="422"/>
      </w:pPr>
      <w:rPr>
        <w:rFonts w:hint="default"/>
        <w:u w:val="none" w:color="auto"/>
      </w:rPr>
    </w:lvl>
  </w:abstractNum>
  <w:abstractNum w:abstractNumId="5">
    <w:nsid w:val="00000454"/>
    <w:multiLevelType w:val="multilevel"/>
    <w:tmpl w:val="00000454"/>
    <w:lvl w:ilvl="0" w:tentative="0">
      <w:start w:val="2"/>
      <w:numFmt w:val="decimal"/>
      <w:lvlText w:val="%1）"/>
      <w:lvlJc w:val="left"/>
      <w:pPr>
        <w:ind w:left="218" w:hanging="422"/>
      </w:pPr>
      <w:rPr>
        <w:rFonts w:hint="default" w:ascii="宋体" w:hAnsi="Times New Roman" w:eastAsia="宋体" w:cs="宋体"/>
        <w:spacing w:val="-13"/>
        <w:sz w:val="26"/>
        <w:szCs w:val="26"/>
        <w:u w:val="none" w:color="auto"/>
      </w:rPr>
    </w:lvl>
    <w:lvl w:ilvl="1" w:tentative="0">
      <w:start w:val="0"/>
      <w:numFmt w:val="bullet"/>
      <w:lvlText w:val="•"/>
      <w:lvlJc w:val="left"/>
      <w:pPr>
        <w:ind w:left="1180" w:hanging="422"/>
      </w:pPr>
      <w:rPr>
        <w:rFonts w:hint="default"/>
        <w:u w:val="none" w:color="auto"/>
      </w:rPr>
    </w:lvl>
    <w:lvl w:ilvl="2" w:tentative="0">
      <w:start w:val="0"/>
      <w:numFmt w:val="bullet"/>
      <w:lvlText w:val="•"/>
      <w:lvlJc w:val="left"/>
      <w:pPr>
        <w:ind w:left="2141" w:hanging="422"/>
      </w:pPr>
      <w:rPr>
        <w:rFonts w:hint="default"/>
        <w:u w:val="none" w:color="auto"/>
      </w:rPr>
    </w:lvl>
    <w:lvl w:ilvl="3" w:tentative="0">
      <w:start w:val="0"/>
      <w:numFmt w:val="bullet"/>
      <w:lvlText w:val="•"/>
      <w:lvlJc w:val="left"/>
      <w:pPr>
        <w:ind w:left="3101" w:hanging="422"/>
      </w:pPr>
      <w:rPr>
        <w:rFonts w:hint="default"/>
        <w:u w:val="none" w:color="auto"/>
      </w:rPr>
    </w:lvl>
    <w:lvl w:ilvl="4" w:tentative="0">
      <w:start w:val="0"/>
      <w:numFmt w:val="bullet"/>
      <w:lvlText w:val="•"/>
      <w:lvlJc w:val="left"/>
      <w:pPr>
        <w:ind w:left="4062" w:hanging="422"/>
      </w:pPr>
      <w:rPr>
        <w:rFonts w:hint="default"/>
        <w:u w:val="none" w:color="auto"/>
      </w:rPr>
    </w:lvl>
    <w:lvl w:ilvl="5" w:tentative="0">
      <w:start w:val="0"/>
      <w:numFmt w:val="bullet"/>
      <w:lvlText w:val="•"/>
      <w:lvlJc w:val="left"/>
      <w:pPr>
        <w:ind w:left="5023" w:hanging="422"/>
      </w:pPr>
      <w:rPr>
        <w:rFonts w:hint="default"/>
        <w:u w:val="none" w:color="auto"/>
      </w:rPr>
    </w:lvl>
    <w:lvl w:ilvl="6" w:tentative="0">
      <w:start w:val="0"/>
      <w:numFmt w:val="bullet"/>
      <w:lvlText w:val="•"/>
      <w:lvlJc w:val="left"/>
      <w:pPr>
        <w:ind w:left="5983" w:hanging="422"/>
      </w:pPr>
      <w:rPr>
        <w:rFonts w:hint="default"/>
        <w:u w:val="none" w:color="auto"/>
      </w:rPr>
    </w:lvl>
    <w:lvl w:ilvl="7" w:tentative="0">
      <w:start w:val="0"/>
      <w:numFmt w:val="bullet"/>
      <w:lvlText w:val="•"/>
      <w:lvlJc w:val="left"/>
      <w:pPr>
        <w:ind w:left="6944" w:hanging="422"/>
      </w:pPr>
      <w:rPr>
        <w:rFonts w:hint="default"/>
        <w:u w:val="none" w:color="auto"/>
      </w:rPr>
    </w:lvl>
    <w:lvl w:ilvl="8" w:tentative="0">
      <w:start w:val="0"/>
      <w:numFmt w:val="bullet"/>
      <w:lvlText w:val="•"/>
      <w:lvlJc w:val="left"/>
      <w:pPr>
        <w:ind w:left="7904" w:hanging="422"/>
      </w:pPr>
      <w:rPr>
        <w:rFonts w:hint="default"/>
        <w:u w:val="none" w:color="auto"/>
      </w:rPr>
    </w:lvl>
  </w:abstractNum>
  <w:abstractNum w:abstractNumId="6">
    <w:nsid w:val="00000455"/>
    <w:multiLevelType w:val="multilevel"/>
    <w:tmpl w:val="00000455"/>
    <w:lvl w:ilvl="0" w:tentative="0">
      <w:start w:val="1"/>
      <w:numFmt w:val="decimal"/>
      <w:lvlText w:val="%1）"/>
      <w:lvlJc w:val="left"/>
      <w:pPr>
        <w:ind w:left="218" w:hanging="422"/>
      </w:pPr>
      <w:rPr>
        <w:rFonts w:hint="default" w:ascii="宋体" w:hAnsi="Times New Roman" w:eastAsia="宋体" w:cs="宋体"/>
        <w:spacing w:val="-10"/>
        <w:sz w:val="26"/>
        <w:szCs w:val="26"/>
        <w:u w:val="none" w:color="auto"/>
      </w:rPr>
    </w:lvl>
    <w:lvl w:ilvl="1" w:tentative="0">
      <w:start w:val="0"/>
      <w:numFmt w:val="bullet"/>
      <w:lvlText w:val="•"/>
      <w:lvlJc w:val="left"/>
      <w:pPr>
        <w:ind w:left="1180" w:hanging="422"/>
      </w:pPr>
      <w:rPr>
        <w:rFonts w:hint="default"/>
        <w:u w:val="none" w:color="auto"/>
      </w:rPr>
    </w:lvl>
    <w:lvl w:ilvl="2" w:tentative="0">
      <w:start w:val="0"/>
      <w:numFmt w:val="bullet"/>
      <w:lvlText w:val="•"/>
      <w:lvlJc w:val="left"/>
      <w:pPr>
        <w:ind w:left="2141" w:hanging="422"/>
      </w:pPr>
      <w:rPr>
        <w:rFonts w:hint="default"/>
        <w:u w:val="none" w:color="auto"/>
      </w:rPr>
    </w:lvl>
    <w:lvl w:ilvl="3" w:tentative="0">
      <w:start w:val="0"/>
      <w:numFmt w:val="bullet"/>
      <w:lvlText w:val="•"/>
      <w:lvlJc w:val="left"/>
      <w:pPr>
        <w:ind w:left="3101" w:hanging="422"/>
      </w:pPr>
      <w:rPr>
        <w:rFonts w:hint="default"/>
        <w:u w:val="none" w:color="auto"/>
      </w:rPr>
    </w:lvl>
    <w:lvl w:ilvl="4" w:tentative="0">
      <w:start w:val="0"/>
      <w:numFmt w:val="bullet"/>
      <w:lvlText w:val="•"/>
      <w:lvlJc w:val="left"/>
      <w:pPr>
        <w:ind w:left="4062" w:hanging="422"/>
      </w:pPr>
      <w:rPr>
        <w:rFonts w:hint="default"/>
        <w:u w:val="none" w:color="auto"/>
      </w:rPr>
    </w:lvl>
    <w:lvl w:ilvl="5" w:tentative="0">
      <w:start w:val="0"/>
      <w:numFmt w:val="bullet"/>
      <w:lvlText w:val="•"/>
      <w:lvlJc w:val="left"/>
      <w:pPr>
        <w:ind w:left="5023" w:hanging="422"/>
      </w:pPr>
      <w:rPr>
        <w:rFonts w:hint="default"/>
        <w:u w:val="none" w:color="auto"/>
      </w:rPr>
    </w:lvl>
    <w:lvl w:ilvl="6" w:tentative="0">
      <w:start w:val="0"/>
      <w:numFmt w:val="bullet"/>
      <w:lvlText w:val="•"/>
      <w:lvlJc w:val="left"/>
      <w:pPr>
        <w:ind w:left="5983" w:hanging="422"/>
      </w:pPr>
      <w:rPr>
        <w:rFonts w:hint="default"/>
        <w:u w:val="none" w:color="auto"/>
      </w:rPr>
    </w:lvl>
    <w:lvl w:ilvl="7" w:tentative="0">
      <w:start w:val="0"/>
      <w:numFmt w:val="bullet"/>
      <w:lvlText w:val="•"/>
      <w:lvlJc w:val="left"/>
      <w:pPr>
        <w:ind w:left="6944" w:hanging="422"/>
      </w:pPr>
      <w:rPr>
        <w:rFonts w:hint="default"/>
        <w:u w:val="none" w:color="auto"/>
      </w:rPr>
    </w:lvl>
    <w:lvl w:ilvl="8" w:tentative="0">
      <w:start w:val="0"/>
      <w:numFmt w:val="bullet"/>
      <w:lvlText w:val="•"/>
      <w:lvlJc w:val="left"/>
      <w:pPr>
        <w:ind w:left="7904" w:hanging="422"/>
      </w:pPr>
      <w:rPr>
        <w:rFonts w:hint="default"/>
        <w:u w:val="none" w:color="auto"/>
      </w:rPr>
    </w:lvl>
  </w:abstractNum>
  <w:abstractNum w:abstractNumId="7">
    <w:nsid w:val="00000456"/>
    <w:multiLevelType w:val="multilevel"/>
    <w:tmpl w:val="00000456"/>
    <w:lvl w:ilvl="0" w:tentative="0">
      <w:start w:val="1"/>
      <w:numFmt w:val="decimal"/>
      <w:lvlText w:val="%1）"/>
      <w:lvlJc w:val="left"/>
      <w:pPr>
        <w:ind w:left="218" w:hanging="424"/>
      </w:pPr>
      <w:rPr>
        <w:rFonts w:hint="default" w:ascii="宋体" w:hAnsi="Times New Roman" w:eastAsia="宋体" w:cs="宋体"/>
        <w:spacing w:val="-1"/>
        <w:sz w:val="26"/>
        <w:szCs w:val="26"/>
        <w:u w:val="none" w:color="auto"/>
      </w:rPr>
    </w:lvl>
    <w:lvl w:ilvl="1" w:tentative="0">
      <w:start w:val="0"/>
      <w:numFmt w:val="bullet"/>
      <w:lvlText w:val="•"/>
      <w:lvlJc w:val="left"/>
      <w:pPr>
        <w:ind w:left="1180" w:hanging="424"/>
      </w:pPr>
      <w:rPr>
        <w:rFonts w:hint="default"/>
        <w:u w:val="none" w:color="auto"/>
      </w:rPr>
    </w:lvl>
    <w:lvl w:ilvl="2" w:tentative="0">
      <w:start w:val="0"/>
      <w:numFmt w:val="bullet"/>
      <w:lvlText w:val="•"/>
      <w:lvlJc w:val="left"/>
      <w:pPr>
        <w:ind w:left="2141" w:hanging="424"/>
      </w:pPr>
      <w:rPr>
        <w:rFonts w:hint="default"/>
        <w:u w:val="none" w:color="auto"/>
      </w:rPr>
    </w:lvl>
    <w:lvl w:ilvl="3" w:tentative="0">
      <w:start w:val="0"/>
      <w:numFmt w:val="bullet"/>
      <w:lvlText w:val="•"/>
      <w:lvlJc w:val="left"/>
      <w:pPr>
        <w:ind w:left="3101" w:hanging="424"/>
      </w:pPr>
      <w:rPr>
        <w:rFonts w:hint="default"/>
        <w:u w:val="none" w:color="auto"/>
      </w:rPr>
    </w:lvl>
    <w:lvl w:ilvl="4" w:tentative="0">
      <w:start w:val="0"/>
      <w:numFmt w:val="bullet"/>
      <w:lvlText w:val="•"/>
      <w:lvlJc w:val="left"/>
      <w:pPr>
        <w:ind w:left="4062" w:hanging="424"/>
      </w:pPr>
      <w:rPr>
        <w:rFonts w:hint="default"/>
        <w:u w:val="none" w:color="auto"/>
      </w:rPr>
    </w:lvl>
    <w:lvl w:ilvl="5" w:tentative="0">
      <w:start w:val="0"/>
      <w:numFmt w:val="bullet"/>
      <w:lvlText w:val="•"/>
      <w:lvlJc w:val="left"/>
      <w:pPr>
        <w:ind w:left="5023" w:hanging="424"/>
      </w:pPr>
      <w:rPr>
        <w:rFonts w:hint="default"/>
        <w:u w:val="none" w:color="auto"/>
      </w:rPr>
    </w:lvl>
    <w:lvl w:ilvl="6" w:tentative="0">
      <w:start w:val="0"/>
      <w:numFmt w:val="bullet"/>
      <w:lvlText w:val="•"/>
      <w:lvlJc w:val="left"/>
      <w:pPr>
        <w:ind w:left="5983" w:hanging="424"/>
      </w:pPr>
      <w:rPr>
        <w:rFonts w:hint="default"/>
        <w:u w:val="none" w:color="auto"/>
      </w:rPr>
    </w:lvl>
    <w:lvl w:ilvl="7" w:tentative="0">
      <w:start w:val="0"/>
      <w:numFmt w:val="bullet"/>
      <w:lvlText w:val="•"/>
      <w:lvlJc w:val="left"/>
      <w:pPr>
        <w:ind w:left="6944" w:hanging="424"/>
      </w:pPr>
      <w:rPr>
        <w:rFonts w:hint="default"/>
        <w:u w:val="none" w:color="auto"/>
      </w:rPr>
    </w:lvl>
    <w:lvl w:ilvl="8" w:tentative="0">
      <w:start w:val="0"/>
      <w:numFmt w:val="bullet"/>
      <w:lvlText w:val="•"/>
      <w:lvlJc w:val="left"/>
      <w:pPr>
        <w:ind w:left="7904" w:hanging="424"/>
      </w:pPr>
      <w:rPr>
        <w:rFonts w:hint="default"/>
        <w:u w:val="none" w:color="auto"/>
      </w:rPr>
    </w:lvl>
  </w:abstractNum>
  <w:abstractNum w:abstractNumId="8">
    <w:nsid w:val="00000458"/>
    <w:multiLevelType w:val="multilevel"/>
    <w:tmpl w:val="00000458"/>
    <w:lvl w:ilvl="0" w:tentative="0">
      <w:start w:val="1"/>
      <w:numFmt w:val="decimal"/>
      <w:lvlText w:val="（%1）"/>
      <w:lvlJc w:val="left"/>
      <w:pPr>
        <w:ind w:left="218" w:hanging="705"/>
      </w:pPr>
      <w:rPr>
        <w:rFonts w:hint="default" w:ascii="宋体" w:hAnsi="Times New Roman" w:eastAsia="宋体" w:cs="宋体"/>
        <w:spacing w:val="-1"/>
        <w:sz w:val="26"/>
        <w:szCs w:val="26"/>
        <w:u w:val="none" w:color="auto"/>
      </w:rPr>
    </w:lvl>
    <w:lvl w:ilvl="1" w:tentative="0">
      <w:start w:val="0"/>
      <w:numFmt w:val="bullet"/>
      <w:lvlText w:val="•"/>
      <w:lvlJc w:val="left"/>
      <w:pPr>
        <w:ind w:left="1180" w:hanging="705"/>
      </w:pPr>
      <w:rPr>
        <w:rFonts w:hint="default"/>
        <w:u w:val="none" w:color="auto"/>
      </w:rPr>
    </w:lvl>
    <w:lvl w:ilvl="2" w:tentative="0">
      <w:start w:val="0"/>
      <w:numFmt w:val="bullet"/>
      <w:lvlText w:val="•"/>
      <w:lvlJc w:val="left"/>
      <w:pPr>
        <w:ind w:left="2141" w:hanging="705"/>
      </w:pPr>
      <w:rPr>
        <w:rFonts w:hint="default"/>
        <w:u w:val="none" w:color="auto"/>
      </w:rPr>
    </w:lvl>
    <w:lvl w:ilvl="3" w:tentative="0">
      <w:start w:val="0"/>
      <w:numFmt w:val="bullet"/>
      <w:lvlText w:val="•"/>
      <w:lvlJc w:val="left"/>
      <w:pPr>
        <w:ind w:left="3101" w:hanging="705"/>
      </w:pPr>
      <w:rPr>
        <w:rFonts w:hint="default"/>
        <w:u w:val="none" w:color="auto"/>
      </w:rPr>
    </w:lvl>
    <w:lvl w:ilvl="4" w:tentative="0">
      <w:start w:val="0"/>
      <w:numFmt w:val="bullet"/>
      <w:lvlText w:val="•"/>
      <w:lvlJc w:val="left"/>
      <w:pPr>
        <w:ind w:left="4062" w:hanging="705"/>
      </w:pPr>
      <w:rPr>
        <w:rFonts w:hint="default"/>
        <w:u w:val="none" w:color="auto"/>
      </w:rPr>
    </w:lvl>
    <w:lvl w:ilvl="5" w:tentative="0">
      <w:start w:val="0"/>
      <w:numFmt w:val="bullet"/>
      <w:lvlText w:val="•"/>
      <w:lvlJc w:val="left"/>
      <w:pPr>
        <w:ind w:left="5023" w:hanging="705"/>
      </w:pPr>
      <w:rPr>
        <w:rFonts w:hint="default"/>
        <w:u w:val="none" w:color="auto"/>
      </w:rPr>
    </w:lvl>
    <w:lvl w:ilvl="6" w:tentative="0">
      <w:start w:val="0"/>
      <w:numFmt w:val="bullet"/>
      <w:lvlText w:val="•"/>
      <w:lvlJc w:val="left"/>
      <w:pPr>
        <w:ind w:left="5983" w:hanging="705"/>
      </w:pPr>
      <w:rPr>
        <w:rFonts w:hint="default"/>
        <w:u w:val="none" w:color="auto"/>
      </w:rPr>
    </w:lvl>
    <w:lvl w:ilvl="7" w:tentative="0">
      <w:start w:val="0"/>
      <w:numFmt w:val="bullet"/>
      <w:lvlText w:val="•"/>
      <w:lvlJc w:val="left"/>
      <w:pPr>
        <w:ind w:left="6944" w:hanging="705"/>
      </w:pPr>
      <w:rPr>
        <w:rFonts w:hint="default"/>
        <w:u w:val="none" w:color="auto"/>
      </w:rPr>
    </w:lvl>
    <w:lvl w:ilvl="8" w:tentative="0">
      <w:start w:val="0"/>
      <w:numFmt w:val="bullet"/>
      <w:lvlText w:val="•"/>
      <w:lvlJc w:val="left"/>
      <w:pPr>
        <w:ind w:left="7904" w:hanging="705"/>
      </w:pPr>
      <w:rPr>
        <w:rFonts w:hint="default"/>
        <w:u w:val="none" w:color="auto"/>
      </w:rPr>
    </w:lvl>
  </w:abstractNum>
  <w:abstractNum w:abstractNumId="9">
    <w:nsid w:val="0000045E"/>
    <w:multiLevelType w:val="multilevel"/>
    <w:tmpl w:val="0000045E"/>
    <w:lvl w:ilvl="0" w:tentative="0">
      <w:start w:val="1"/>
      <w:numFmt w:val="decimal"/>
      <w:lvlText w:val="（%1）"/>
      <w:lvlJc w:val="left"/>
      <w:pPr>
        <w:ind w:left="1479" w:hanging="702"/>
      </w:pPr>
      <w:rPr>
        <w:rFonts w:hint="default" w:ascii="宋体" w:hAnsi="Times New Roman" w:eastAsia="宋体" w:cs="宋体"/>
        <w:spacing w:val="-2"/>
        <w:sz w:val="26"/>
        <w:szCs w:val="26"/>
        <w:u w:val="none" w:color="auto"/>
      </w:rPr>
    </w:lvl>
    <w:lvl w:ilvl="1" w:tentative="0">
      <w:start w:val="0"/>
      <w:numFmt w:val="bullet"/>
      <w:lvlText w:val="•"/>
      <w:lvlJc w:val="left"/>
      <w:pPr>
        <w:ind w:left="2314" w:hanging="702"/>
      </w:pPr>
      <w:rPr>
        <w:rFonts w:hint="default"/>
        <w:u w:val="none" w:color="auto"/>
      </w:rPr>
    </w:lvl>
    <w:lvl w:ilvl="2" w:tentative="0">
      <w:start w:val="0"/>
      <w:numFmt w:val="bullet"/>
      <w:lvlText w:val="•"/>
      <w:lvlJc w:val="left"/>
      <w:pPr>
        <w:ind w:left="3149" w:hanging="702"/>
      </w:pPr>
      <w:rPr>
        <w:rFonts w:hint="default"/>
        <w:u w:val="none" w:color="auto"/>
      </w:rPr>
    </w:lvl>
    <w:lvl w:ilvl="3" w:tentative="0">
      <w:start w:val="0"/>
      <w:numFmt w:val="bullet"/>
      <w:lvlText w:val="•"/>
      <w:lvlJc w:val="left"/>
      <w:pPr>
        <w:ind w:left="3983" w:hanging="702"/>
      </w:pPr>
      <w:rPr>
        <w:rFonts w:hint="default"/>
        <w:u w:val="none" w:color="auto"/>
      </w:rPr>
    </w:lvl>
    <w:lvl w:ilvl="4" w:tentative="0">
      <w:start w:val="0"/>
      <w:numFmt w:val="bullet"/>
      <w:lvlText w:val="•"/>
      <w:lvlJc w:val="left"/>
      <w:pPr>
        <w:ind w:left="4818" w:hanging="702"/>
      </w:pPr>
      <w:rPr>
        <w:rFonts w:hint="default"/>
        <w:u w:val="none" w:color="auto"/>
      </w:rPr>
    </w:lvl>
    <w:lvl w:ilvl="5" w:tentative="0">
      <w:start w:val="0"/>
      <w:numFmt w:val="bullet"/>
      <w:lvlText w:val="•"/>
      <w:lvlJc w:val="left"/>
      <w:pPr>
        <w:ind w:left="5653" w:hanging="702"/>
      </w:pPr>
      <w:rPr>
        <w:rFonts w:hint="default"/>
        <w:u w:val="none" w:color="auto"/>
      </w:rPr>
    </w:lvl>
    <w:lvl w:ilvl="6" w:tentative="0">
      <w:start w:val="0"/>
      <w:numFmt w:val="bullet"/>
      <w:lvlText w:val="•"/>
      <w:lvlJc w:val="left"/>
      <w:pPr>
        <w:ind w:left="6487" w:hanging="702"/>
      </w:pPr>
      <w:rPr>
        <w:rFonts w:hint="default"/>
        <w:u w:val="none" w:color="auto"/>
      </w:rPr>
    </w:lvl>
    <w:lvl w:ilvl="7" w:tentative="0">
      <w:start w:val="0"/>
      <w:numFmt w:val="bullet"/>
      <w:lvlText w:val="•"/>
      <w:lvlJc w:val="left"/>
      <w:pPr>
        <w:ind w:left="7322" w:hanging="702"/>
      </w:pPr>
      <w:rPr>
        <w:rFonts w:hint="default"/>
        <w:u w:val="none" w:color="auto"/>
      </w:rPr>
    </w:lvl>
    <w:lvl w:ilvl="8" w:tentative="0">
      <w:start w:val="0"/>
      <w:numFmt w:val="bullet"/>
      <w:lvlText w:val="•"/>
      <w:lvlJc w:val="left"/>
      <w:pPr>
        <w:ind w:left="8156" w:hanging="702"/>
      </w:pPr>
      <w:rPr>
        <w:rFonts w:hint="default"/>
        <w:u w:val="none" w:color="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doNotCompress"/>
  <w:doNotValidateAgainstSchema/>
  <w:doNotDemarcateInvalidXml/>
  <w:hdrShapeDefaults>
    <o:shapelayout v:ext="edit">
      <o:idmap v:ext="edit" data="1"/>
    </o:shapelayout>
  </w:hdrShapeDefaults>
  <w:footnotePr>
    <w:footnote w:id="0"/>
    <w:footnote w:id="1"/>
  </w:footnotePr>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37C436D"/>
    <w:rsid w:val="4CB81DF0"/>
    <w:rsid w:val="63B971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1"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iPriority="0"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iPriority="0"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uiPriority="99" w:semiHidden="0" w:name="header"/>
    <w:lsdException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iPriority="1"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iPriority="0"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0"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0"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spacing w:beforeLines="0" w:afterLines="0"/>
    </w:pPr>
    <w:rPr>
      <w:rFonts w:hint="default" w:ascii="宋体" w:hAnsi="Times New Roman" w:eastAsia="宋体" w:cs="宋体"/>
      <w:sz w:val="22"/>
      <w:szCs w:val="22"/>
      <w:lang w:val="en-US" w:eastAsia="zh-CN" w:bidi="ar-SA"/>
    </w:rPr>
  </w:style>
  <w:style w:type="paragraph" w:styleId="2">
    <w:name w:val="heading 1"/>
    <w:basedOn w:val="1"/>
    <w:unhideWhenUsed/>
    <w:qFormat/>
    <w:uiPriority w:val="1"/>
    <w:pPr>
      <w:spacing w:beforeLines="0" w:afterLines="0"/>
      <w:ind w:left="720" w:hanging="322"/>
      <w:outlineLvl w:val="0"/>
    </w:pPr>
    <w:rPr>
      <w:rFonts w:hint="default"/>
      <w:b/>
      <w:sz w:val="32"/>
      <w:szCs w:val="32"/>
    </w:rPr>
  </w:style>
  <w:style w:type="paragraph" w:styleId="3">
    <w:name w:val="heading 2"/>
    <w:basedOn w:val="1"/>
    <w:next w:val="1"/>
    <w:unhideWhenUsed/>
    <w:qFormat/>
    <w:uiPriority w:val="1"/>
    <w:pPr>
      <w:spacing w:before="1" w:beforeLines="0" w:afterLines="0"/>
      <w:ind w:left="926" w:hanging="529"/>
      <w:jc w:val="both"/>
      <w:outlineLvl w:val="1"/>
    </w:pPr>
    <w:rPr>
      <w:rFonts w:hint="default"/>
      <w:b/>
      <w:sz w:val="28"/>
      <w:szCs w:val="28"/>
    </w:rPr>
  </w:style>
  <w:style w:type="character" w:default="1" w:styleId="12">
    <w:name w:val="Default Paragraph Font"/>
    <w:unhideWhenUsed/>
    <w:uiPriority w:val="1"/>
    <w:rPr>
      <w:rFonts w:hint="default"/>
      <w:sz w:val="24"/>
      <w:szCs w:val="24"/>
    </w:rPr>
  </w:style>
  <w:style w:type="table" w:default="1" w:styleId="11">
    <w:name w:val="Normal Table"/>
    <w:qFormat/>
    <w:uiPriority w:val="0"/>
    <w:tblPr>
      <w:tblCellMar>
        <w:top w:w="0" w:type="dxa"/>
        <w:left w:w="108" w:type="dxa"/>
        <w:bottom w:w="0" w:type="dxa"/>
        <w:right w:w="108" w:type="dxa"/>
      </w:tblCellMar>
    </w:tblPr>
  </w:style>
  <w:style w:type="paragraph" w:styleId="4">
    <w:name w:val="index 6"/>
    <w:basedOn w:val="1"/>
    <w:next w:val="1"/>
    <w:unhideWhenUsed/>
    <w:qFormat/>
    <w:uiPriority w:val="0"/>
    <w:pPr>
      <w:spacing w:beforeLines="0" w:afterLines="0"/>
      <w:ind w:left="2100"/>
    </w:pPr>
    <w:rPr>
      <w:rFonts w:hint="default" w:ascii="仿宋_GB2312" w:eastAsia="仿宋_GB2312" w:cs="Times New Roman"/>
      <w:kern w:val="2"/>
      <w:sz w:val="28"/>
      <w:szCs w:val="24"/>
    </w:rPr>
  </w:style>
  <w:style w:type="paragraph" w:styleId="5">
    <w:name w:val="Body Text"/>
    <w:basedOn w:val="1"/>
    <w:next w:val="6"/>
    <w:link w:val="17"/>
    <w:unhideWhenUsed/>
    <w:qFormat/>
    <w:uiPriority w:val="1"/>
    <w:pPr>
      <w:spacing w:beforeLines="0" w:afterLines="0"/>
      <w:ind w:left="218" w:firstLine="559"/>
    </w:pPr>
    <w:rPr>
      <w:rFonts w:hint="default"/>
      <w:sz w:val="28"/>
      <w:szCs w:val="28"/>
    </w:rPr>
  </w:style>
  <w:style w:type="paragraph" w:styleId="6">
    <w:name w:val="toc 2"/>
    <w:basedOn w:val="1"/>
    <w:next w:val="1"/>
    <w:unhideWhenUsed/>
    <w:qFormat/>
    <w:uiPriority w:val="0"/>
    <w:pPr>
      <w:spacing w:beforeLines="0" w:afterLines="0"/>
      <w:ind w:left="420" w:leftChars="200"/>
    </w:pPr>
    <w:rPr>
      <w:rFonts w:hint="default"/>
      <w:sz w:val="22"/>
      <w:szCs w:val="22"/>
    </w:rPr>
  </w:style>
  <w:style w:type="paragraph" w:styleId="7">
    <w:name w:val="footer"/>
    <w:basedOn w:val="1"/>
    <w:link w:val="16"/>
    <w:unhideWhenUsed/>
    <w:uiPriority w:val="99"/>
    <w:pPr>
      <w:tabs>
        <w:tab w:val="center" w:pos="4153"/>
        <w:tab w:val="right" w:pos="8306"/>
      </w:tabs>
      <w:snapToGrid w:val="0"/>
      <w:spacing w:beforeLines="0" w:afterLines="0"/>
    </w:pPr>
    <w:rPr>
      <w:rFonts w:hint="default"/>
      <w:sz w:val="18"/>
      <w:szCs w:val="18"/>
    </w:rPr>
  </w:style>
  <w:style w:type="paragraph" w:styleId="8">
    <w:name w:val="header"/>
    <w:basedOn w:val="1"/>
    <w:link w:val="18"/>
    <w:unhideWhenUsed/>
    <w:uiPriority w:val="99"/>
    <w:pPr>
      <w:pBdr>
        <w:bottom w:val="single" w:color="auto" w:sz="6" w:space="1"/>
      </w:pBdr>
      <w:tabs>
        <w:tab w:val="center" w:pos="4153"/>
        <w:tab w:val="right" w:pos="8306"/>
      </w:tabs>
      <w:snapToGrid w:val="0"/>
      <w:spacing w:beforeLines="0" w:afterLines="0"/>
      <w:jc w:val="center"/>
    </w:pPr>
    <w:rPr>
      <w:rFonts w:hint="default"/>
      <w:sz w:val="18"/>
      <w:szCs w:val="18"/>
    </w:rPr>
  </w:style>
  <w:style w:type="paragraph" w:styleId="9">
    <w:name w:val="Title"/>
    <w:basedOn w:val="1"/>
    <w:next w:val="1"/>
    <w:link w:val="15"/>
    <w:unhideWhenUsed/>
    <w:qFormat/>
    <w:uiPriority w:val="1"/>
    <w:pPr>
      <w:spacing w:beforeLines="0" w:afterLines="0"/>
      <w:ind w:left="1247" w:right="1259"/>
      <w:jc w:val="center"/>
    </w:pPr>
    <w:rPr>
      <w:rFonts w:hint="eastAsia" w:ascii="黑体" w:eastAsia="黑体" w:cs="黑体"/>
      <w:b/>
      <w:sz w:val="48"/>
      <w:szCs w:val="48"/>
    </w:rPr>
  </w:style>
  <w:style w:type="paragraph" w:styleId="10">
    <w:name w:val="Body Text First Indent"/>
    <w:basedOn w:val="5"/>
    <w:next w:val="4"/>
    <w:unhideWhenUsed/>
    <w:qFormat/>
    <w:uiPriority w:val="0"/>
    <w:pPr>
      <w:tabs>
        <w:tab w:val="left" w:pos="284"/>
        <w:tab w:val="right" w:pos="4111"/>
      </w:tabs>
      <w:spacing w:beforeLines="0" w:afterLines="0"/>
      <w:ind w:firstLine="420" w:firstLineChars="100"/>
    </w:pPr>
    <w:rPr>
      <w:rFonts w:hint="default"/>
      <w:sz w:val="28"/>
      <w:szCs w:val="28"/>
    </w:rPr>
  </w:style>
  <w:style w:type="paragraph" w:styleId="13">
    <w:name w:val="List Paragraph"/>
    <w:basedOn w:val="1"/>
    <w:unhideWhenUsed/>
    <w:qFormat/>
    <w:uiPriority w:val="1"/>
    <w:pPr>
      <w:spacing w:beforeLines="0" w:afterLines="0"/>
      <w:ind w:left="218" w:firstLine="559"/>
    </w:pPr>
    <w:rPr>
      <w:rFonts w:hint="default"/>
      <w:sz w:val="24"/>
      <w:szCs w:val="24"/>
    </w:rPr>
  </w:style>
  <w:style w:type="paragraph" w:customStyle="1" w:styleId="14">
    <w:name w:val="Table Paragraph"/>
    <w:basedOn w:val="1"/>
    <w:unhideWhenUsed/>
    <w:qFormat/>
    <w:uiPriority w:val="1"/>
    <w:pPr>
      <w:spacing w:beforeLines="0" w:afterLines="0"/>
    </w:pPr>
    <w:rPr>
      <w:rFonts w:hint="default"/>
      <w:sz w:val="24"/>
      <w:szCs w:val="24"/>
    </w:rPr>
  </w:style>
  <w:style w:type="character" w:customStyle="1" w:styleId="15">
    <w:name w:val="标题 Char"/>
    <w:basedOn w:val="12"/>
    <w:link w:val="9"/>
    <w:unhideWhenUsed/>
    <w:locked/>
    <w:uiPriority w:val="10"/>
    <w:rPr>
      <w:rFonts w:hint="default" w:ascii="宋体" w:hAnsi="Cambria" w:eastAsia="宋体" w:cs="Times New Roman"/>
      <w:b/>
      <w:sz w:val="32"/>
      <w:szCs w:val="32"/>
    </w:rPr>
  </w:style>
  <w:style w:type="character" w:customStyle="1" w:styleId="16">
    <w:name w:val="页脚 Char"/>
    <w:basedOn w:val="12"/>
    <w:link w:val="7"/>
    <w:unhideWhenUsed/>
    <w:locked/>
    <w:uiPriority w:val="99"/>
    <w:rPr>
      <w:rFonts w:hint="default" w:ascii="宋体" w:hAnsi="Times New Roman" w:eastAsia="宋体" w:cs="宋体"/>
      <w:sz w:val="18"/>
      <w:szCs w:val="18"/>
    </w:rPr>
  </w:style>
  <w:style w:type="character" w:customStyle="1" w:styleId="17">
    <w:name w:val="正文文本 Char"/>
    <w:basedOn w:val="12"/>
    <w:link w:val="5"/>
    <w:unhideWhenUsed/>
    <w:locked/>
    <w:uiPriority w:val="99"/>
    <w:rPr>
      <w:rFonts w:hint="default" w:ascii="宋体" w:hAnsi="Times New Roman" w:eastAsia="宋体" w:cs="宋体"/>
      <w:sz w:val="22"/>
      <w:szCs w:val="24"/>
    </w:rPr>
  </w:style>
  <w:style w:type="character" w:customStyle="1" w:styleId="18">
    <w:name w:val="页眉 Char"/>
    <w:basedOn w:val="12"/>
    <w:link w:val="8"/>
    <w:unhideWhenUsed/>
    <w:locked/>
    <w:uiPriority w:val="99"/>
    <w:rPr>
      <w:rFonts w:hint="default" w:ascii="宋体" w:hAnsi="Times New Roman"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1244</Words>
  <Characters>1495</Characters>
  <TotalTime>1</TotalTime>
  <ScaleCrop>false</ScaleCrop>
  <LinksUpToDate>false</LinksUpToDate>
  <CharactersWithSpaces>1537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2026-03-24T08:42:00Z</dcterms:created>
  <dc:creator>liangwei</dc:creator>
  <cp:lastModifiedBy>邱啸峪</cp:lastModifiedBy>
  <dcterms:modified xsi:type="dcterms:W3CDTF">2026-03-24T08:45:23Z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eyJoZGlkIjoiNDU0ZDJjYzZjZGVjOGYzNjBmNTFjZWQ2NWE4ZTA5MDEiLCJ1c2VySWQiOiIxNDg5MzAwMzY3In0=</vt:lpwstr>
  </property>
  <property fmtid="{D5CDD505-2E9C-101B-9397-08002B2CF9AE}" pid="3" name="KSOProductBuildVer">
    <vt:lpwstr>2052-12.1.0.23542</vt:lpwstr>
  </property>
  <property fmtid="{D5CDD505-2E9C-101B-9397-08002B2CF9AE}" pid="4" name="ICV">
    <vt:lpwstr>FF2991C5B1AA4BA58BA47B97A5DEF664_13</vt:lpwstr>
  </property>
</Properties>
</file>