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9FAFC">
      <w:pPr>
        <w:tabs>
          <w:tab w:val="left" w:pos="525"/>
          <w:tab w:val="left" w:pos="987"/>
        </w:tabs>
        <w:snapToGrid w:val="0"/>
        <w:spacing w:line="360" w:lineRule="auto"/>
        <w:jc w:val="center"/>
        <w:rPr>
          <w:rFonts w:hint="eastAsia" w:ascii="宋体" w:hAnsi="宋体" w:eastAsia="宋体" w:cs="宋体"/>
          <w:b/>
          <w:sz w:val="40"/>
          <w:szCs w:val="40"/>
          <w:lang w:val="en-US" w:eastAsia="zh-CN"/>
        </w:rPr>
      </w:pPr>
    </w:p>
    <w:p w14:paraId="31BE71F8">
      <w:pPr>
        <w:tabs>
          <w:tab w:val="left" w:pos="525"/>
          <w:tab w:val="left" w:pos="987"/>
        </w:tabs>
        <w:snapToGrid w:val="0"/>
        <w:spacing w:line="360" w:lineRule="auto"/>
        <w:jc w:val="center"/>
        <w:rPr>
          <w:rFonts w:hint="eastAsia" w:ascii="宋体" w:hAnsi="宋体" w:eastAsia="宋体" w:cs="宋体"/>
          <w:b/>
          <w:sz w:val="40"/>
          <w:szCs w:val="40"/>
          <w:lang w:val="en-US" w:eastAsia="zh-CN"/>
        </w:rPr>
      </w:pPr>
    </w:p>
    <w:p w14:paraId="1DAFEB74">
      <w:pPr>
        <w:tabs>
          <w:tab w:val="left" w:pos="525"/>
          <w:tab w:val="left" w:pos="987"/>
        </w:tabs>
        <w:snapToGrid w:val="0"/>
        <w:spacing w:line="360" w:lineRule="auto"/>
        <w:jc w:val="center"/>
        <w:rPr>
          <w:rFonts w:hint="eastAsia" w:ascii="宋体" w:hAnsi="宋体" w:eastAsia="宋体" w:cs="宋体"/>
          <w:b/>
          <w:sz w:val="40"/>
          <w:szCs w:val="40"/>
          <w:lang w:val="en-US" w:eastAsia="zh-CN"/>
        </w:rPr>
      </w:pPr>
    </w:p>
    <w:p w14:paraId="349D4E42">
      <w:pPr>
        <w:tabs>
          <w:tab w:val="left" w:pos="525"/>
          <w:tab w:val="left" w:pos="987"/>
        </w:tabs>
        <w:snapToGrid w:val="0"/>
        <w:spacing w:line="360" w:lineRule="auto"/>
        <w:jc w:val="center"/>
        <w:rPr>
          <w:rFonts w:hint="eastAsia" w:ascii="宋体" w:hAnsi="宋体" w:eastAsia="宋体" w:cs="宋体"/>
          <w:b/>
          <w:sz w:val="40"/>
          <w:szCs w:val="40"/>
          <w:lang w:val="en-US" w:eastAsia="zh-CN"/>
        </w:rPr>
      </w:pPr>
      <w:r>
        <w:rPr>
          <w:rFonts w:hint="eastAsia" w:ascii="宋体" w:hAnsi="宋体" w:eastAsia="宋体" w:cs="宋体"/>
          <w:b/>
          <w:sz w:val="40"/>
          <w:szCs w:val="40"/>
          <w:lang w:val="en-US" w:eastAsia="zh-CN"/>
        </w:rPr>
        <w:t>宏联自控公司</w:t>
      </w:r>
      <w:r>
        <w:rPr>
          <w:rFonts w:hint="eastAsia" w:cs="宋体"/>
          <w:b/>
          <w:sz w:val="40"/>
          <w:szCs w:val="40"/>
          <w:lang w:val="en-US" w:eastAsia="zh-CN"/>
        </w:rPr>
        <w:t>永磁断路器</w:t>
      </w:r>
      <w:r>
        <w:rPr>
          <w:rFonts w:hint="eastAsia" w:ascii="宋体" w:hAnsi="宋体" w:eastAsia="宋体" w:cs="宋体"/>
          <w:b/>
          <w:sz w:val="40"/>
          <w:szCs w:val="40"/>
          <w:lang w:val="en-US" w:eastAsia="zh-CN"/>
        </w:rPr>
        <w:t>采购</w:t>
      </w:r>
    </w:p>
    <w:p w14:paraId="362F0A24">
      <w:pPr>
        <w:pStyle w:val="6"/>
        <w:rPr>
          <w:rFonts w:hint="eastAsia" w:ascii="宋体" w:hAnsi="宋体" w:eastAsia="宋体" w:cs="宋体"/>
          <w:b/>
          <w:sz w:val="40"/>
          <w:szCs w:val="40"/>
          <w:lang w:val="en-US" w:eastAsia="zh-CN"/>
        </w:rPr>
      </w:pPr>
    </w:p>
    <w:p w14:paraId="1524E316">
      <w:pPr>
        <w:pStyle w:val="4"/>
        <w:rPr>
          <w:rFonts w:hint="eastAsia" w:ascii="宋体" w:hAnsi="宋体" w:eastAsia="宋体" w:cs="宋体"/>
          <w:b/>
          <w:sz w:val="40"/>
          <w:szCs w:val="40"/>
          <w:lang w:val="en-US" w:eastAsia="zh-CN"/>
        </w:rPr>
      </w:pPr>
    </w:p>
    <w:p w14:paraId="0AD7F282">
      <w:pPr>
        <w:rPr>
          <w:rFonts w:hint="eastAsia"/>
          <w:lang w:val="en-US" w:eastAsia="zh-CN"/>
        </w:rPr>
      </w:pPr>
    </w:p>
    <w:p w14:paraId="3D76BB63">
      <w:pPr>
        <w:pStyle w:val="4"/>
        <w:rPr>
          <w:rFonts w:hint="eastAsia"/>
          <w:lang w:val="en-US" w:eastAsia="zh-CN"/>
        </w:rPr>
      </w:pPr>
    </w:p>
    <w:p w14:paraId="4BD1EC38">
      <w:pPr>
        <w:pStyle w:val="4"/>
        <w:rPr>
          <w:rFonts w:hint="eastAsia"/>
          <w:lang w:val="en-US" w:eastAsia="zh-CN"/>
        </w:rPr>
      </w:pPr>
    </w:p>
    <w:p w14:paraId="04BE4E88">
      <w:pPr>
        <w:pStyle w:val="6"/>
        <w:jc w:val="center"/>
        <w:rPr>
          <w:rFonts w:hint="eastAsia" w:ascii="宋体" w:hAnsi="宋体" w:eastAsia="宋体" w:cs="宋体"/>
          <w:b/>
          <w:sz w:val="40"/>
          <w:szCs w:val="40"/>
          <w:lang w:val="en-US" w:eastAsia="zh-CN"/>
        </w:rPr>
      </w:pPr>
      <w:r>
        <w:rPr>
          <w:rFonts w:hint="eastAsia" w:ascii="宋体" w:hAnsi="宋体" w:eastAsia="宋体" w:cs="宋体"/>
          <w:b/>
          <w:sz w:val="40"/>
          <w:szCs w:val="40"/>
          <w:lang w:val="en-US" w:eastAsia="zh-CN"/>
        </w:rPr>
        <w:t>技</w:t>
      </w:r>
    </w:p>
    <w:p w14:paraId="1806FFB8">
      <w:pPr>
        <w:pStyle w:val="6"/>
        <w:jc w:val="center"/>
        <w:rPr>
          <w:rFonts w:hint="eastAsia" w:ascii="宋体" w:hAnsi="宋体" w:eastAsia="宋体" w:cs="宋体"/>
          <w:b/>
          <w:sz w:val="40"/>
          <w:szCs w:val="40"/>
          <w:lang w:val="en-US" w:eastAsia="zh-CN"/>
        </w:rPr>
      </w:pPr>
      <w:r>
        <w:rPr>
          <w:rFonts w:hint="eastAsia" w:ascii="宋体" w:hAnsi="宋体" w:eastAsia="宋体" w:cs="宋体"/>
          <w:b/>
          <w:sz w:val="40"/>
          <w:szCs w:val="40"/>
          <w:lang w:val="en-US" w:eastAsia="zh-CN"/>
        </w:rPr>
        <w:t>术</w:t>
      </w:r>
    </w:p>
    <w:p w14:paraId="2F22D3C5">
      <w:pPr>
        <w:pStyle w:val="6"/>
        <w:jc w:val="center"/>
        <w:rPr>
          <w:rFonts w:hint="eastAsia" w:ascii="宋体" w:hAnsi="宋体" w:eastAsia="宋体" w:cs="宋体"/>
          <w:b/>
          <w:sz w:val="40"/>
          <w:szCs w:val="40"/>
          <w:lang w:val="en-US" w:eastAsia="zh-CN"/>
        </w:rPr>
      </w:pPr>
      <w:r>
        <w:rPr>
          <w:rFonts w:hint="eastAsia" w:ascii="宋体" w:hAnsi="宋体" w:eastAsia="宋体" w:cs="宋体"/>
          <w:b/>
          <w:sz w:val="40"/>
          <w:szCs w:val="40"/>
          <w:lang w:val="en-US" w:eastAsia="zh-CN"/>
        </w:rPr>
        <w:t>规</w:t>
      </w:r>
    </w:p>
    <w:p w14:paraId="654F88D5">
      <w:pPr>
        <w:pStyle w:val="6"/>
        <w:jc w:val="center"/>
        <w:rPr>
          <w:rFonts w:hint="eastAsia" w:ascii="宋体" w:hAnsi="宋体" w:eastAsia="宋体" w:cs="宋体"/>
          <w:b/>
          <w:sz w:val="40"/>
          <w:szCs w:val="40"/>
          <w:lang w:val="en-US" w:eastAsia="zh-CN"/>
        </w:rPr>
      </w:pPr>
      <w:r>
        <w:rPr>
          <w:rFonts w:hint="eastAsia" w:ascii="宋体" w:hAnsi="宋体" w:eastAsia="宋体" w:cs="宋体"/>
          <w:b/>
          <w:sz w:val="40"/>
          <w:szCs w:val="40"/>
          <w:lang w:val="en-US" w:eastAsia="zh-CN"/>
        </w:rPr>
        <w:t>格</w:t>
      </w:r>
    </w:p>
    <w:p w14:paraId="65984DE4">
      <w:pPr>
        <w:pStyle w:val="6"/>
        <w:jc w:val="center"/>
        <w:rPr>
          <w:rFonts w:hint="default" w:ascii="宋体" w:hAnsi="宋体" w:eastAsia="宋体" w:cs="宋体"/>
          <w:b/>
          <w:sz w:val="40"/>
          <w:szCs w:val="40"/>
          <w:lang w:val="en-US" w:eastAsia="zh-CN"/>
        </w:rPr>
      </w:pPr>
      <w:r>
        <w:rPr>
          <w:rFonts w:hint="eastAsia" w:ascii="宋体" w:hAnsi="宋体" w:eastAsia="宋体" w:cs="宋体"/>
          <w:b/>
          <w:sz w:val="40"/>
          <w:szCs w:val="40"/>
          <w:lang w:val="en-US" w:eastAsia="zh-CN"/>
        </w:rPr>
        <w:t>书</w:t>
      </w:r>
    </w:p>
    <w:p w14:paraId="040ED65E">
      <w:pPr>
        <w:pStyle w:val="2"/>
        <w:snapToGrid w:val="0"/>
        <w:spacing w:line="360" w:lineRule="auto"/>
        <w:jc w:val="center"/>
        <w:rPr>
          <w:rFonts w:hint="eastAsia" w:ascii="宋体" w:hAnsi="宋体" w:eastAsia="宋体" w:cs="宋体"/>
          <w:b/>
          <w:szCs w:val="28"/>
          <w:lang w:val="en-US" w:eastAsia="zh-CN"/>
        </w:rPr>
      </w:pPr>
    </w:p>
    <w:p w14:paraId="65C071FB">
      <w:pPr>
        <w:rPr>
          <w:rFonts w:hint="eastAsia" w:ascii="宋体" w:hAnsi="宋体" w:eastAsia="宋体" w:cs="宋体"/>
          <w:b/>
          <w:szCs w:val="28"/>
          <w:lang w:val="en-US" w:eastAsia="zh-CN"/>
        </w:rPr>
      </w:pPr>
    </w:p>
    <w:p w14:paraId="40A8A8C0">
      <w:pPr>
        <w:pStyle w:val="6"/>
        <w:rPr>
          <w:rFonts w:hint="eastAsia" w:ascii="宋体" w:hAnsi="宋体" w:eastAsia="宋体" w:cs="宋体"/>
          <w:b/>
          <w:szCs w:val="28"/>
          <w:lang w:val="en-US" w:eastAsia="zh-CN"/>
        </w:rPr>
      </w:pPr>
    </w:p>
    <w:p w14:paraId="65A113A2">
      <w:pPr>
        <w:pStyle w:val="4"/>
        <w:rPr>
          <w:rFonts w:hint="eastAsia" w:ascii="宋体" w:hAnsi="宋体" w:eastAsia="宋体" w:cs="宋体"/>
          <w:b/>
          <w:szCs w:val="28"/>
          <w:lang w:val="en-US" w:eastAsia="zh-CN"/>
        </w:rPr>
      </w:pPr>
    </w:p>
    <w:p w14:paraId="659C5BD1">
      <w:pPr>
        <w:rPr>
          <w:rFonts w:hint="eastAsia" w:ascii="宋体" w:hAnsi="宋体" w:eastAsia="宋体" w:cs="宋体"/>
          <w:b/>
          <w:szCs w:val="28"/>
          <w:lang w:val="en-US" w:eastAsia="zh-CN"/>
        </w:rPr>
      </w:pPr>
    </w:p>
    <w:p w14:paraId="5281BADF">
      <w:pPr>
        <w:pStyle w:val="6"/>
        <w:rPr>
          <w:rFonts w:hint="eastAsia" w:ascii="宋体" w:hAnsi="宋体" w:eastAsia="宋体" w:cs="宋体"/>
          <w:b/>
          <w:szCs w:val="28"/>
          <w:lang w:val="en-US" w:eastAsia="zh-CN"/>
        </w:rPr>
      </w:pPr>
    </w:p>
    <w:p w14:paraId="3AED9328">
      <w:pPr>
        <w:pStyle w:val="4"/>
        <w:rPr>
          <w:rFonts w:hint="eastAsia"/>
          <w:lang w:val="en-US" w:eastAsia="zh-CN"/>
        </w:rPr>
      </w:pPr>
    </w:p>
    <w:p w14:paraId="66A9D859">
      <w:pPr>
        <w:pStyle w:val="4"/>
        <w:ind w:left="0" w:leftChars="0" w:firstLine="0" w:firstLineChars="0"/>
        <w:rPr>
          <w:rFonts w:hint="eastAsia"/>
          <w:lang w:val="en-US" w:eastAsia="zh-CN"/>
        </w:rPr>
      </w:pPr>
    </w:p>
    <w:p w14:paraId="2C50A825">
      <w:pPr>
        <w:pStyle w:val="2"/>
        <w:snapToGrid w:val="0"/>
        <w:spacing w:line="360" w:lineRule="auto"/>
        <w:jc w:val="left"/>
        <w:rPr>
          <w:rFonts w:hint="eastAsia" w:ascii="宋体" w:hAnsi="宋体" w:eastAsia="宋体" w:cs="宋体"/>
          <w:b/>
          <w:szCs w:val="28"/>
          <w:lang w:val="en-US" w:eastAsia="zh-CN"/>
        </w:rPr>
      </w:pPr>
    </w:p>
    <w:p w14:paraId="1C25699E">
      <w:pPr>
        <w:tabs>
          <w:tab w:val="left" w:pos="525"/>
          <w:tab w:val="left" w:pos="987"/>
        </w:tabs>
        <w:snapToGrid w:val="0"/>
        <w:spacing w:line="360" w:lineRule="auto"/>
        <w:ind w:firstLine="1680" w:firstLineChars="600"/>
        <w:jc w:val="left"/>
        <w:outlineLvl w:val="9"/>
        <w:rPr>
          <w:rFonts w:hint="default" w:ascii="宋体" w:hAnsi="宋体" w:eastAsia="宋体" w:cs="宋体"/>
          <w:bCs/>
          <w:sz w:val="28"/>
          <w:szCs w:val="28"/>
          <w:lang w:val="en-US" w:eastAsia="zh-CN"/>
        </w:rPr>
      </w:pPr>
      <w:r>
        <w:rPr>
          <w:rFonts w:hint="eastAsia" w:ascii="宋体" w:hAnsi="宋体" w:eastAsia="宋体" w:cs="宋体"/>
          <w:bCs/>
          <w:sz w:val="28"/>
          <w:szCs w:val="28"/>
          <w:lang w:val="en-US" w:eastAsia="zh-CN"/>
        </w:rPr>
        <w:t>甲方：酒钢（集团）宏联自控有限责任公司</w:t>
      </w:r>
    </w:p>
    <w:p w14:paraId="6DE659A1">
      <w:pPr>
        <w:snapToGrid w:val="0"/>
        <w:spacing w:line="360" w:lineRule="auto"/>
        <w:ind w:firstLine="1680" w:firstLineChars="600"/>
        <w:jc w:val="left"/>
        <w:outlineLvl w:val="9"/>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乙方：</w:t>
      </w:r>
      <w:r>
        <w:rPr>
          <w:rFonts w:hint="eastAsia" w:ascii="仿宋" w:hAnsi="仿宋" w:eastAsia="仿宋" w:cs="仿宋"/>
          <w:b/>
          <w:color w:val="auto"/>
          <w:sz w:val="30"/>
          <w:szCs w:val="30"/>
          <w:highlight w:val="none"/>
          <w:lang w:val="en-US" w:eastAsia="zh-CN"/>
        </w:rPr>
        <w:drawing>
          <wp:anchor distT="0" distB="0" distL="114300" distR="114300" simplePos="0" relativeHeight="251659264" behindDoc="0" locked="0" layoutInCell="1" allowOverlap="1">
            <wp:simplePos x="0" y="0"/>
            <wp:positionH relativeFrom="column">
              <wp:posOffset>2980690</wp:posOffset>
            </wp:positionH>
            <wp:positionV relativeFrom="paragraph">
              <wp:posOffset>7508875</wp:posOffset>
            </wp:positionV>
            <wp:extent cx="1631950" cy="1637665"/>
            <wp:effectExtent l="0" t="0" r="6350" b="635"/>
            <wp:wrapNone/>
            <wp:docPr id="7" name="图片 3" descr="lQLPJxqEUPTqbQPNARXNARSwcuzxn_aXx9sFrlat9TcOAA_276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lQLPJxqEUPTqbQPNARXNARSwcuzxn_aXx9sFrlat9TcOAA_276_277"/>
                    <pic:cNvPicPr>
                      <a:picLocks noChangeAspect="1"/>
                    </pic:cNvPicPr>
                  </pic:nvPicPr>
                  <pic:blipFill>
                    <a:blip r:embed="rId7"/>
                    <a:stretch>
                      <a:fillRect/>
                    </a:stretch>
                  </pic:blipFill>
                  <pic:spPr>
                    <a:xfrm>
                      <a:off x="0" y="0"/>
                      <a:ext cx="1631950" cy="1637665"/>
                    </a:xfrm>
                    <a:prstGeom prst="rect">
                      <a:avLst/>
                    </a:prstGeom>
                    <a:noFill/>
                    <a:ln>
                      <a:noFill/>
                    </a:ln>
                  </pic:spPr>
                </pic:pic>
              </a:graphicData>
            </a:graphic>
          </wp:anchor>
        </w:drawing>
      </w:r>
    </w:p>
    <w:p w14:paraId="06E3C10F">
      <w:pPr>
        <w:outlineLvl w:val="9"/>
        <w:rPr>
          <w:rFonts w:hint="eastAsia" w:ascii="宋体" w:hAnsi="宋体" w:eastAsia="宋体" w:cs="宋体"/>
          <w:bCs/>
          <w:kern w:val="2"/>
          <w:sz w:val="28"/>
          <w:szCs w:val="28"/>
          <w:lang w:val="en-US" w:eastAsia="zh-CN" w:bidi="ar-SA"/>
        </w:rPr>
      </w:pPr>
    </w:p>
    <w:p w14:paraId="0D858382">
      <w:pPr>
        <w:pStyle w:val="6"/>
        <w:outlineLvl w:val="9"/>
        <w:rPr>
          <w:rFonts w:hint="eastAsia"/>
          <w:lang w:val="en-US" w:eastAsia="zh-CN"/>
        </w:rPr>
      </w:pPr>
    </w:p>
    <w:p w14:paraId="54BCD8C2">
      <w:pPr>
        <w:snapToGrid w:val="0"/>
        <w:spacing w:line="360" w:lineRule="auto"/>
        <w:jc w:val="center"/>
        <w:outlineLvl w:val="9"/>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2025年12月</w:t>
      </w:r>
    </w:p>
    <w:p w14:paraId="3C8CAA58">
      <w:pPr>
        <w:snapToGrid w:val="0"/>
        <w:spacing w:line="360" w:lineRule="auto"/>
        <w:jc w:val="center"/>
        <w:outlineLvl w:val="9"/>
        <w:rPr>
          <w:rFonts w:hint="eastAsia" w:ascii="宋体" w:hAnsi="宋体" w:eastAsia="宋体" w:cs="宋体"/>
          <w:bCs/>
          <w:kern w:val="2"/>
          <w:sz w:val="28"/>
          <w:szCs w:val="28"/>
          <w:lang w:val="en-US" w:eastAsia="zh-CN" w:bidi="ar-SA"/>
        </w:rPr>
      </w:pPr>
    </w:p>
    <w:sdt>
      <w:sdtPr>
        <w:rPr>
          <w:rFonts w:ascii="宋体" w:hAnsi="宋体" w:eastAsia="宋体" w:cs="宋体"/>
          <w:sz w:val="28"/>
          <w:szCs w:val="28"/>
          <w:lang w:val="en-US" w:eastAsia="en-US" w:bidi="ar-SA"/>
        </w:rPr>
        <w:id w:val="147462186"/>
        <w15:color w:val="DBDBDB"/>
        <w:docPartObj>
          <w:docPartGallery w:val="Table of Contents"/>
          <w:docPartUnique/>
        </w:docPartObj>
      </w:sdtPr>
      <w:sdtEndPr>
        <w:rPr>
          <w:rFonts w:hint="eastAsia" w:asciiTheme="majorEastAsia" w:hAnsiTheme="majorEastAsia" w:eastAsiaTheme="majorEastAsia" w:cstheme="majorEastAsia"/>
          <w:bCs w:val="0"/>
          <w:sz w:val="22"/>
          <w:szCs w:val="28"/>
          <w:lang w:val="en-US" w:eastAsia="zh-CN" w:bidi="ar-SA"/>
        </w:rPr>
      </w:sdtEndPr>
      <w:sdtContent>
        <w:p w14:paraId="1DFC20BA">
          <w:pPr>
            <w:keepNext w:val="0"/>
            <w:keepLines w:val="0"/>
            <w:pageBreakBefore w:val="0"/>
            <w:kinsoku/>
            <w:wordWrap/>
            <w:overflowPunct/>
            <w:topLinePunct w:val="0"/>
            <w:autoSpaceDE w:val="0"/>
            <w:autoSpaceDN w:val="0"/>
            <w:bidi w:val="0"/>
            <w:adjustRightInd/>
            <w:spacing w:before="0" w:beforeLines="0" w:after="0" w:afterLines="0" w:line="360" w:lineRule="auto"/>
            <w:ind w:left="0" w:leftChars="0" w:right="0" w:rightChars="0" w:firstLine="0" w:firstLineChars="0"/>
            <w:jc w:val="center"/>
            <w:textAlignment w:val="auto"/>
            <w:rPr>
              <w:sz w:val="28"/>
              <w:szCs w:val="28"/>
            </w:rPr>
          </w:pPr>
          <w:r>
            <w:rPr>
              <w:rFonts w:ascii="宋体" w:hAnsi="宋体" w:eastAsia="宋体"/>
              <w:sz w:val="28"/>
              <w:szCs w:val="28"/>
            </w:rPr>
            <w:t>目录</w:t>
          </w:r>
        </w:p>
        <w:p w14:paraId="166A6FC1">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TOC \o "1-3" \h \u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_Toc6509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1</w:t>
          </w:r>
          <w:r>
            <w:rPr>
              <w:rFonts w:hint="eastAsia" w:asciiTheme="majorEastAsia" w:hAnsiTheme="majorEastAsia" w:eastAsiaTheme="majorEastAsia" w:cstheme="majorEastAsia"/>
              <w:bCs w:val="0"/>
              <w:sz w:val="28"/>
              <w:szCs w:val="28"/>
            </w:rPr>
            <w:t>、总则</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_Toc6509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3</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6A3B336F">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_Toc31410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2、环境及公用工程条件</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_Toc31410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5D7116A7">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_Toc20804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 xml:space="preserve">2.1 </w:t>
          </w:r>
          <w:r>
            <w:rPr>
              <w:rFonts w:hint="eastAsia" w:asciiTheme="majorEastAsia" w:hAnsiTheme="majorEastAsia" w:eastAsiaTheme="majorEastAsia" w:cstheme="majorEastAsia"/>
              <w:bCs w:val="0"/>
              <w:spacing w:val="-2"/>
              <w:sz w:val="28"/>
              <w:szCs w:val="28"/>
            </w:rPr>
            <w:t>地理位置</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_Toc20804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4362BC3E">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_Toc27546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2.2 气象条件</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_Toc27546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4</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4B8A52C5">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_Toc23271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2.3 场地</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_Toc23271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5</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5F6CF4A4">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_Toc18629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2.4 地震烈度</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_Toc18629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6</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5DE571F7">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_Toc10184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2.5 设计条件</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_Toc10184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6</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57FFFFB8">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_Toc15639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3、执行标准</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_Toc15639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6</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6B64CABB">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_Toc8594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4 、永磁断路器供货范围</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_Toc8594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456A2F75">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_Toc5273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5、永磁断路器技术要求</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_Toc5273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8</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3ED6BB0E">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_Toc28938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sz w:val="28"/>
              <w:szCs w:val="28"/>
              <w:shd w:val="clear" w:color="auto" w:fill="FFFFFF"/>
              <w:lang w:val="en-US" w:eastAsia="zh-CN"/>
            </w:rPr>
            <w:t xml:space="preserve">5.1 </w:t>
          </w:r>
          <w:r>
            <w:rPr>
              <w:rFonts w:hint="eastAsia" w:asciiTheme="majorEastAsia" w:hAnsiTheme="majorEastAsia" w:eastAsiaTheme="majorEastAsia" w:cstheme="majorEastAsia"/>
              <w:bCs/>
              <w:sz w:val="28"/>
              <w:szCs w:val="28"/>
              <w:shd w:val="clear" w:color="auto" w:fill="FFFFFF"/>
            </w:rPr>
            <w:t>断路器动触头技术要求</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_Toc28938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8</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772E9DEA">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_Toc13912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sz w:val="28"/>
              <w:szCs w:val="28"/>
              <w:shd w:val="clear" w:color="auto" w:fill="FFFFFF"/>
              <w:lang w:val="en-US" w:eastAsia="zh-CN"/>
            </w:rPr>
            <w:t>5.2 梅花触头弹簧的要求</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_Toc13912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8</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1534CF3A">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_Toc9469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sz w:val="28"/>
              <w:szCs w:val="28"/>
              <w:shd w:val="clear" w:color="auto" w:fill="FFFFFF"/>
              <w:lang w:val="en-US" w:eastAsia="zh-CN"/>
            </w:rPr>
            <w:t>5.3 断路器触臂技术要求：</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_Toc9469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9</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05B350D1">
          <w:pPr>
            <w:pStyle w:val="9"/>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_Toc29206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sz w:val="28"/>
              <w:szCs w:val="28"/>
              <w:shd w:val="clear" w:color="auto" w:fill="FFFFFF"/>
              <w:lang w:val="en-US" w:eastAsia="zh-CN"/>
            </w:rPr>
            <w:t>5.4 断路器静触头技术要求：</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_Toc29206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10</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1132B831">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_Toc419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6、技术服务</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_Toc419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10</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6F5E852E">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_Toc26786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7、交货地点、交货日期</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_Toc26786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12FFDF83">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_Toc17442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8、售后服务内容</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_Toc17442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6C1C6CEE">
          <w:pPr>
            <w:pStyle w:val="8"/>
            <w:keepNext w:val="0"/>
            <w:keepLines w:val="0"/>
            <w:pageBreakBefore w:val="0"/>
            <w:tabs>
              <w:tab w:val="right" w:leader="dot" w:pos="8306"/>
            </w:tabs>
            <w:kinsoku/>
            <w:wordWrap/>
            <w:overflowPunct/>
            <w:topLinePunct w:val="0"/>
            <w:autoSpaceDE w:val="0"/>
            <w:autoSpaceDN w:val="0"/>
            <w:bidi w:val="0"/>
            <w:adjustRightInd/>
            <w:spacing w:line="360" w:lineRule="auto"/>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Cs w:val="0"/>
              <w:sz w:val="28"/>
              <w:szCs w:val="28"/>
              <w:lang w:val="en-US" w:eastAsia="zh-CN" w:bidi="ar-SA"/>
            </w:rPr>
            <w:fldChar w:fldCharType="begin"/>
          </w:r>
          <w:r>
            <w:rPr>
              <w:rFonts w:hint="eastAsia" w:asciiTheme="majorEastAsia" w:hAnsiTheme="majorEastAsia" w:eastAsiaTheme="majorEastAsia" w:cstheme="majorEastAsia"/>
              <w:bCs w:val="0"/>
              <w:sz w:val="28"/>
              <w:szCs w:val="28"/>
              <w:lang w:val="en-US" w:eastAsia="zh-CN" w:bidi="ar-SA"/>
            </w:rPr>
            <w:instrText xml:space="preserve"> HYPERLINK \l _Toc19414 </w:instrText>
          </w:r>
          <w:r>
            <w:rPr>
              <w:rFonts w:hint="eastAsia" w:asciiTheme="majorEastAsia" w:hAnsiTheme="majorEastAsia" w:eastAsiaTheme="majorEastAsia" w:cstheme="majorEastAsia"/>
              <w:bCs w:val="0"/>
              <w:sz w:val="28"/>
              <w:szCs w:val="28"/>
              <w:lang w:val="en-US" w:eastAsia="zh-CN" w:bidi="ar-SA"/>
            </w:rPr>
            <w:fldChar w:fldCharType="separate"/>
          </w:r>
          <w:r>
            <w:rPr>
              <w:rFonts w:hint="eastAsia" w:asciiTheme="majorEastAsia" w:hAnsiTheme="majorEastAsia" w:eastAsiaTheme="majorEastAsia" w:cstheme="majorEastAsia"/>
              <w:bCs w:val="0"/>
              <w:sz w:val="28"/>
              <w:szCs w:val="28"/>
              <w:lang w:val="en-US" w:eastAsia="zh-CN"/>
            </w:rPr>
            <w:t>9、其它</w:t>
          </w:r>
          <w:r>
            <w:rPr>
              <w:rFonts w:hint="eastAsia" w:asciiTheme="majorEastAsia" w:hAnsiTheme="majorEastAsia" w:eastAsiaTheme="majorEastAsia" w:cstheme="majorEastAsia"/>
              <w:sz w:val="28"/>
              <w:szCs w:val="28"/>
            </w:rPr>
            <w:tab/>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PAGEREF _Toc19414 \h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13</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bCs w:val="0"/>
              <w:sz w:val="28"/>
              <w:szCs w:val="28"/>
              <w:lang w:val="en-US" w:eastAsia="zh-CN" w:bidi="ar-SA"/>
            </w:rPr>
            <w:fldChar w:fldCharType="end"/>
          </w:r>
        </w:p>
        <w:p w14:paraId="3722CA0E">
          <w:pPr>
            <w:keepNext w:val="0"/>
            <w:keepLines w:val="0"/>
            <w:pageBreakBefore w:val="0"/>
            <w:kinsoku/>
            <w:wordWrap/>
            <w:overflowPunct/>
            <w:topLinePunct w:val="0"/>
            <w:autoSpaceDE w:val="0"/>
            <w:autoSpaceDN w:val="0"/>
            <w:bidi w:val="0"/>
            <w:adjustRightInd/>
            <w:snapToGrid w:val="0"/>
            <w:spacing w:line="360" w:lineRule="auto"/>
            <w:jc w:val="left"/>
            <w:textAlignment w:val="auto"/>
            <w:outlineLvl w:val="0"/>
            <w:rPr>
              <w:rFonts w:hint="eastAsia" w:asciiTheme="majorEastAsia" w:hAnsiTheme="majorEastAsia" w:eastAsiaTheme="majorEastAsia" w:cstheme="majorEastAsia"/>
              <w:bCs w:val="0"/>
              <w:sz w:val="22"/>
              <w:szCs w:val="28"/>
              <w:lang w:val="en-US" w:eastAsia="zh-CN" w:bidi="ar-SA"/>
            </w:rPr>
          </w:pPr>
          <w:r>
            <w:rPr>
              <w:rFonts w:hint="eastAsia" w:asciiTheme="majorEastAsia" w:hAnsiTheme="majorEastAsia" w:eastAsiaTheme="majorEastAsia" w:cstheme="majorEastAsia"/>
              <w:bCs w:val="0"/>
              <w:sz w:val="28"/>
              <w:szCs w:val="28"/>
              <w:lang w:val="en-US" w:eastAsia="zh-CN" w:bidi="ar-SA"/>
            </w:rPr>
            <w:fldChar w:fldCharType="end"/>
          </w:r>
        </w:p>
      </w:sdtContent>
    </w:sdt>
    <w:p w14:paraId="776AC8AA">
      <w:pPr>
        <w:snapToGrid w:val="0"/>
        <w:spacing w:line="360" w:lineRule="auto"/>
        <w:jc w:val="left"/>
        <w:outlineLvl w:val="0"/>
        <w:rPr>
          <w:rFonts w:hint="eastAsia" w:asciiTheme="majorEastAsia" w:hAnsiTheme="majorEastAsia" w:eastAsiaTheme="majorEastAsia" w:cstheme="majorEastAsia"/>
          <w:bCs w:val="0"/>
          <w:sz w:val="22"/>
          <w:szCs w:val="28"/>
          <w:lang w:val="en-US" w:eastAsia="zh-CN" w:bidi="ar-SA"/>
        </w:rPr>
      </w:pPr>
    </w:p>
    <w:p w14:paraId="6CAF8C1F">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rPr>
      </w:pPr>
      <w:bookmarkStart w:id="0" w:name="_Toc6509"/>
      <w:bookmarkStart w:id="1" w:name="_Toc24543"/>
      <w:bookmarkStart w:id="2" w:name="_Toc15432"/>
      <w:r>
        <w:rPr>
          <w:rFonts w:hint="eastAsia" w:asciiTheme="minorEastAsia" w:hAnsiTheme="minorEastAsia" w:eastAsiaTheme="minorEastAsia" w:cstheme="minorEastAsia"/>
          <w:b/>
          <w:bCs w:val="0"/>
          <w:sz w:val="24"/>
          <w:szCs w:val="24"/>
          <w:lang w:val="en-US" w:eastAsia="zh-CN"/>
        </w:rPr>
        <w:t>1</w:t>
      </w:r>
      <w:r>
        <w:rPr>
          <w:rFonts w:hint="eastAsia" w:asciiTheme="minorEastAsia" w:hAnsiTheme="minorEastAsia" w:eastAsiaTheme="minorEastAsia" w:cstheme="minorEastAsia"/>
          <w:b/>
          <w:bCs w:val="0"/>
          <w:sz w:val="24"/>
          <w:szCs w:val="24"/>
        </w:rPr>
        <w:t>、总则</w:t>
      </w:r>
      <w:bookmarkEnd w:id="0"/>
      <w:bookmarkEnd w:id="1"/>
      <w:bookmarkEnd w:id="2"/>
    </w:p>
    <w:p w14:paraId="79B2F2EE">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本规范书适用于宏联</w:t>
      </w:r>
      <w:r>
        <w:rPr>
          <w:rFonts w:hint="eastAsia" w:asciiTheme="minorEastAsia" w:hAnsiTheme="minorEastAsia" w:eastAsiaTheme="minorEastAsia" w:cstheme="minorEastAsia"/>
          <w:bCs/>
          <w:sz w:val="24"/>
          <w:szCs w:val="24"/>
          <w:lang w:val="en-US" w:eastAsia="zh-CN"/>
        </w:rPr>
        <w:t>自控</w:t>
      </w:r>
      <w:r>
        <w:rPr>
          <w:rFonts w:hint="eastAsia" w:asciiTheme="minorEastAsia" w:hAnsiTheme="minorEastAsia" w:eastAsiaTheme="minorEastAsia" w:cstheme="minorEastAsia"/>
          <w:bCs/>
          <w:sz w:val="24"/>
          <w:szCs w:val="24"/>
        </w:rPr>
        <w:t>公司</w:t>
      </w:r>
      <w:r>
        <w:rPr>
          <w:rFonts w:hint="eastAsia" w:asciiTheme="minorEastAsia" w:hAnsiTheme="minorEastAsia" w:eastAsiaTheme="minorEastAsia" w:cstheme="minorEastAsia"/>
          <w:bCs/>
          <w:sz w:val="24"/>
          <w:szCs w:val="24"/>
          <w:lang w:val="en-US" w:eastAsia="zh-CN"/>
        </w:rPr>
        <w:t>永磁断路器采购采购</w:t>
      </w:r>
      <w:r>
        <w:rPr>
          <w:rFonts w:hint="eastAsia" w:asciiTheme="minorEastAsia" w:hAnsiTheme="minorEastAsia" w:eastAsiaTheme="minorEastAsia" w:cstheme="minorEastAsia"/>
          <w:bCs/>
          <w:sz w:val="24"/>
          <w:szCs w:val="24"/>
        </w:rPr>
        <w:t>项目，其内容包括该设备的功能设计、结构、性能和出厂试验等方面的技术要求。本技术</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作为设备采购合同的技术附件，与合同同时生效，具有同等法律效力。</w:t>
      </w:r>
    </w:p>
    <w:p w14:paraId="0D8CE1DE">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1.2</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本技术</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提出的是最低限度的技术要求，并未对一切技术细节作出规定，也未充分引述有关标准和</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的条文，</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应提供符合本</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书和有关电力标准的优质产品，并保证提供设备系统的完整性。</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应仔细阅读</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提出的所有条款与说明，包括各项技术规格，理解且与</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一致，并全部做出承诺性响应。其产品严格按照</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和设计单位提供的技术参数进行设计、制造、供货及配合调试并保证符合</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和设计单位所提供的技术资料以及我国现行的相关标准的要求。而这些标准和技术规范应为设备制造时为止最新公布发行的标准和技术规范。本</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书所使用的标准如遇与</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所执行的标准发生矛盾时，按较高标准执行。</w:t>
      </w:r>
    </w:p>
    <w:p w14:paraId="7DAA6CE5">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1.3</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在合同执行期间由双方协商形成的其他补充</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和追加条款也具有同等法律效力。</w:t>
      </w:r>
    </w:p>
    <w:p w14:paraId="641E7713">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1.4</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如果</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没有以书面形式对本</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书的条文提出异议，则意味着</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提供的设备完全符合本</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书的要求。如有异议，不管多么微小，都应以“对规范书的意见和同</w:t>
      </w:r>
      <w:r>
        <w:rPr>
          <w:rFonts w:hint="eastAsia" w:asciiTheme="minorEastAsia" w:hAnsiTheme="minorEastAsia" w:eastAsiaTheme="minorEastAsia" w:cstheme="minorEastAsia"/>
          <w:bCs/>
          <w:sz w:val="24"/>
          <w:szCs w:val="24"/>
          <w:lang w:eastAsia="zh-CN"/>
        </w:rPr>
        <w:t>规格书</w:t>
      </w:r>
      <w:r>
        <w:rPr>
          <w:rFonts w:hint="eastAsia" w:asciiTheme="minorEastAsia" w:hAnsiTheme="minorEastAsia" w:eastAsiaTheme="minorEastAsia" w:cstheme="minorEastAsia"/>
          <w:bCs/>
          <w:sz w:val="24"/>
          <w:szCs w:val="24"/>
        </w:rPr>
        <w:t>书的差异”为标题向</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提出，由</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确认。</w:t>
      </w:r>
    </w:p>
    <w:p w14:paraId="7F2167F1">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1.5</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电气设备选用国内外先进的零部件及电控设备，要求具备运行可靠、设计合理、经济耐用、低损耗、低噪音、低温升、节能、使用寿命长、结构合理、保护完善、易于操作和维检等特点。</w:t>
      </w:r>
    </w:p>
    <w:p w14:paraId="6B27117C">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1.6</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须对本设备制造的完整性、合理性和设备制造质量承担全部责任。保证设备制造符合国家标准。</w:t>
      </w:r>
    </w:p>
    <w:p w14:paraId="2988A685">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val="en-US" w:eastAsia="zh-CN"/>
        </w:rPr>
        <w:t xml:space="preserve">7 </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应对整个设备及其附属设备的合理性、完整性负责。保证所供设备满足使用要求。</w:t>
      </w:r>
    </w:p>
    <w:p w14:paraId="61F63009">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val="en-US" w:eastAsia="zh-CN"/>
        </w:rPr>
        <w:t xml:space="preserve">8 </w:t>
      </w:r>
      <w:r>
        <w:rPr>
          <w:rFonts w:hint="eastAsia" w:asciiTheme="minorEastAsia" w:hAnsiTheme="minorEastAsia" w:eastAsiaTheme="minorEastAsia" w:cstheme="minorEastAsia"/>
          <w:bCs/>
          <w:sz w:val="24"/>
          <w:szCs w:val="24"/>
        </w:rPr>
        <w:t>设备中的标准件、外购件必须按技术附件中推荐的厂家进行选购，</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标准件、外协件所选外协单位必须以书面形式通知</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并经</w:t>
      </w:r>
      <w:r>
        <w:rPr>
          <w:rFonts w:hint="eastAsia" w:asciiTheme="minorEastAsia" w:hAnsiTheme="minorEastAsia" w:eastAsiaTheme="minorEastAsia" w:cstheme="minorEastAsia"/>
          <w:bCs/>
          <w:sz w:val="24"/>
          <w:szCs w:val="24"/>
          <w:lang w:eastAsia="zh-CN"/>
        </w:rPr>
        <w:t>甲方</w:t>
      </w:r>
      <w:r>
        <w:rPr>
          <w:rFonts w:hint="eastAsia" w:asciiTheme="minorEastAsia" w:hAnsiTheme="minorEastAsia" w:eastAsiaTheme="minorEastAsia" w:cstheme="minorEastAsia"/>
          <w:bCs/>
          <w:sz w:val="24"/>
          <w:szCs w:val="24"/>
        </w:rPr>
        <w:t>认可方可执行。</w:t>
      </w:r>
    </w:p>
    <w:p w14:paraId="6FD584A4">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1.9</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提供的设备必须具有国内同行业近几年内的先进制造水平，采用先进工艺，合格材料，成熟的技术或专利技术。</w:t>
      </w:r>
    </w:p>
    <w:p w14:paraId="0181DCE2">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1.10</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提供的设备必须是全新、规范、先进的高质量可靠产品，能够确保连续稳定的工作。</w:t>
      </w:r>
    </w:p>
    <w:p w14:paraId="67A34DD7">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w:t>
      </w:r>
      <w:r>
        <w:rPr>
          <w:rFonts w:hint="eastAsia" w:asciiTheme="minorEastAsia" w:hAnsiTheme="minorEastAsia" w:eastAsiaTheme="minorEastAsia" w:cstheme="minorEastAsia"/>
          <w:bCs/>
          <w:sz w:val="24"/>
          <w:szCs w:val="24"/>
          <w:lang w:val="en-US" w:eastAsia="zh-CN"/>
        </w:rPr>
        <w:t xml:space="preserve">11 </w:t>
      </w:r>
      <w:r>
        <w:rPr>
          <w:rFonts w:hint="eastAsia" w:asciiTheme="minorEastAsia" w:hAnsiTheme="minorEastAsia" w:eastAsiaTheme="minorEastAsia" w:cstheme="minorEastAsia"/>
          <w:bCs/>
          <w:sz w:val="24"/>
          <w:szCs w:val="24"/>
        </w:rPr>
        <w:t>所有设备尺寸都使用公制单位。</w:t>
      </w:r>
      <w:r>
        <w:rPr>
          <w:rFonts w:hint="eastAsia" w:asciiTheme="minorEastAsia" w:hAnsiTheme="minorEastAsia" w:eastAsiaTheme="minorEastAsia" w:cstheme="minorEastAsia"/>
          <w:bCs/>
          <w:sz w:val="24"/>
          <w:szCs w:val="24"/>
        </w:rPr>
        <w:tab/>
      </w:r>
    </w:p>
    <w:p w14:paraId="5879F3CA">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1.12</w:t>
      </w: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乙方</w:t>
      </w:r>
      <w:r>
        <w:rPr>
          <w:rFonts w:hint="eastAsia" w:asciiTheme="minorEastAsia" w:hAnsiTheme="minorEastAsia" w:eastAsiaTheme="minorEastAsia" w:cstheme="minorEastAsia"/>
          <w:bCs/>
          <w:sz w:val="24"/>
          <w:szCs w:val="24"/>
        </w:rPr>
        <w:t>提供的主设备、附件、备品备件、外部油漆等材质必须满足本工程所处地理位置、环境条件的要求。</w:t>
      </w:r>
    </w:p>
    <w:p w14:paraId="13254C7F">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3" w:name="_Toc1121"/>
      <w:bookmarkStart w:id="4" w:name="_Toc31410"/>
      <w:bookmarkStart w:id="5" w:name="_Toc12975"/>
      <w:r>
        <w:rPr>
          <w:rFonts w:hint="eastAsia" w:asciiTheme="minorEastAsia" w:hAnsiTheme="minorEastAsia" w:eastAsiaTheme="minorEastAsia" w:cstheme="minorEastAsia"/>
          <w:b/>
          <w:bCs w:val="0"/>
          <w:sz w:val="24"/>
          <w:szCs w:val="24"/>
          <w:lang w:val="en-US" w:eastAsia="zh-CN"/>
        </w:rPr>
        <w:t>2、环境及公用工程条件</w:t>
      </w:r>
      <w:bookmarkEnd w:id="3"/>
      <w:bookmarkEnd w:id="4"/>
      <w:bookmarkEnd w:id="5"/>
    </w:p>
    <w:p w14:paraId="13AB7618">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1"/>
        <w:rPr>
          <w:rFonts w:hint="eastAsia" w:asciiTheme="minorEastAsia" w:hAnsiTheme="minorEastAsia" w:eastAsiaTheme="minorEastAsia" w:cstheme="minorEastAsia"/>
          <w:b/>
          <w:bCs w:val="0"/>
          <w:spacing w:val="-2"/>
          <w:sz w:val="24"/>
          <w:szCs w:val="24"/>
        </w:rPr>
      </w:pPr>
      <w:bookmarkStart w:id="6" w:name="_Toc13225"/>
      <w:bookmarkStart w:id="7" w:name="_Toc17639"/>
      <w:bookmarkStart w:id="8" w:name="_Toc20804"/>
      <w:r>
        <w:rPr>
          <w:rFonts w:hint="eastAsia" w:asciiTheme="minorEastAsia" w:hAnsiTheme="minorEastAsia" w:eastAsiaTheme="minorEastAsia" w:cstheme="minorEastAsia"/>
          <w:b/>
          <w:bCs w:val="0"/>
          <w:sz w:val="24"/>
          <w:szCs w:val="24"/>
          <w:lang w:val="en-US" w:eastAsia="zh-CN"/>
        </w:rPr>
        <w:t xml:space="preserve">2.1 </w:t>
      </w:r>
      <w:r>
        <w:rPr>
          <w:rFonts w:hint="eastAsia" w:asciiTheme="minorEastAsia" w:hAnsiTheme="minorEastAsia" w:eastAsiaTheme="minorEastAsia" w:cstheme="minorEastAsia"/>
          <w:b/>
          <w:bCs w:val="0"/>
          <w:spacing w:val="-2"/>
          <w:sz w:val="24"/>
          <w:szCs w:val="24"/>
        </w:rPr>
        <w:t>地理位置</w:t>
      </w:r>
      <w:bookmarkEnd w:id="6"/>
      <w:bookmarkEnd w:id="7"/>
      <w:bookmarkEnd w:id="8"/>
    </w:p>
    <w:p w14:paraId="519C437B">
      <w:pPr>
        <w:keepNext w:val="0"/>
        <w:keepLines w:val="0"/>
        <w:pageBreakBefore w:val="0"/>
        <w:widowControl w:val="0"/>
        <w:kinsoku/>
        <w:wordWrap/>
        <w:overflowPunct/>
        <w:topLinePunct w:val="0"/>
        <w:autoSpaceDE w:val="0"/>
        <w:autoSpaceDN w:val="0"/>
        <w:bidi w:val="0"/>
        <w:adjustRightInd/>
        <w:snapToGrid w:val="0"/>
        <w:spacing w:before="0" w:line="360" w:lineRule="auto"/>
        <w:ind w:right="0" w:firstLine="480" w:firstLineChars="200"/>
        <w:jc w:val="left"/>
        <w:textAlignment w:val="auto"/>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嘉峪关位于甘肃省西北部，东经 98°17′、北纬 39°47′。东临酒泉市，西临玉门市，南倚祁连山,与肃南裕固族自治县接壤，北与金塔县和内蒙古额济纳旗相连接。项目所在地位于嘉峪关市市区酒钢冶金厂区。</w:t>
      </w:r>
    </w:p>
    <w:p w14:paraId="32641967">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1"/>
        <w:rPr>
          <w:rFonts w:hint="eastAsia" w:asciiTheme="minorEastAsia" w:hAnsiTheme="minorEastAsia" w:eastAsiaTheme="minorEastAsia" w:cstheme="minorEastAsia"/>
          <w:b/>
          <w:bCs w:val="0"/>
          <w:sz w:val="24"/>
          <w:szCs w:val="24"/>
          <w:lang w:val="en-US" w:eastAsia="zh-CN"/>
        </w:rPr>
      </w:pPr>
      <w:bookmarkStart w:id="9" w:name="_Toc905"/>
      <w:bookmarkStart w:id="10" w:name="_Toc17716"/>
      <w:bookmarkStart w:id="11" w:name="_Toc27546"/>
      <w:r>
        <w:rPr>
          <w:rFonts w:hint="eastAsia" w:asciiTheme="minorEastAsia" w:hAnsiTheme="minorEastAsia" w:eastAsiaTheme="minorEastAsia" w:cstheme="minorEastAsia"/>
          <w:b/>
          <w:bCs w:val="0"/>
          <w:sz w:val="24"/>
          <w:szCs w:val="24"/>
          <w:lang w:val="en-US" w:eastAsia="zh-CN"/>
        </w:rPr>
        <w:t>2.2 气象条件</w:t>
      </w:r>
      <w:bookmarkEnd w:id="9"/>
      <w:bookmarkEnd w:id="10"/>
      <w:bookmarkEnd w:id="11"/>
    </w:p>
    <w:p w14:paraId="3BC94759">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pacing w:val="-3"/>
          <w:sz w:val="24"/>
          <w:szCs w:val="24"/>
        </w:rPr>
      </w:pPr>
      <w:r>
        <w:rPr>
          <w:rFonts w:hint="eastAsia" w:asciiTheme="minorEastAsia" w:hAnsiTheme="minorEastAsia" w:eastAsiaTheme="minorEastAsia" w:cstheme="minorEastAsia"/>
          <w:sz w:val="24"/>
          <w:szCs w:val="24"/>
        </w:rPr>
        <w:t>属温带大陆性荒漠气候，年均气温在 6.7℃-7.7℃之间，年日照8000 小时。自然降水量年平均 85.3 毫米，蒸发量 2149 毫米。全年无</w:t>
      </w:r>
      <w:r>
        <w:rPr>
          <w:rFonts w:hint="eastAsia" w:asciiTheme="minorEastAsia" w:hAnsiTheme="minorEastAsia" w:eastAsiaTheme="minorEastAsia" w:cstheme="minorEastAsia"/>
          <w:spacing w:val="-20"/>
          <w:sz w:val="24"/>
          <w:szCs w:val="24"/>
        </w:rPr>
        <w:t xml:space="preserve">霜期 </w:t>
      </w:r>
      <w:r>
        <w:rPr>
          <w:rFonts w:hint="eastAsia" w:asciiTheme="minorEastAsia" w:hAnsiTheme="minorEastAsia" w:eastAsiaTheme="minorEastAsia" w:cstheme="minorEastAsia"/>
          <w:sz w:val="24"/>
          <w:szCs w:val="24"/>
        </w:rPr>
        <w:t>130</w:t>
      </w:r>
      <w:r>
        <w:rPr>
          <w:rFonts w:hint="eastAsia" w:asciiTheme="minorEastAsia" w:hAnsiTheme="minorEastAsia" w:eastAsiaTheme="minorEastAsia" w:cstheme="minorEastAsia"/>
          <w:spacing w:val="-8"/>
          <w:sz w:val="24"/>
          <w:szCs w:val="24"/>
        </w:rPr>
        <w:t xml:space="preserve"> 天左右。厂区所在地区为雨量小、蒸发大、温差大、多风沙的</w:t>
      </w:r>
      <w:r>
        <w:rPr>
          <w:rFonts w:hint="eastAsia" w:asciiTheme="minorEastAsia" w:hAnsiTheme="minorEastAsia" w:eastAsiaTheme="minorEastAsia" w:cstheme="minorEastAsia"/>
          <w:spacing w:val="-3"/>
          <w:sz w:val="24"/>
          <w:szCs w:val="24"/>
        </w:rPr>
        <w:t>内陆干旱气候。</w:t>
      </w:r>
    </w:p>
    <w:p w14:paraId="2B667935">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0" w:firstLineChars="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.2.1</w:t>
      </w:r>
      <w:r>
        <w:rPr>
          <w:rFonts w:hint="eastAsia" w:asciiTheme="minorEastAsia" w:hAnsiTheme="minorEastAsia" w:eastAsiaTheme="minorEastAsia" w:cstheme="minorEastAsia"/>
          <w:spacing w:val="-24"/>
          <w:sz w:val="24"/>
          <w:szCs w:val="24"/>
        </w:rPr>
        <w:t xml:space="preserve"> 气温</w:t>
      </w:r>
    </w:p>
    <w:p w14:paraId="2071DF0B">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最高温度：38.4℃ </w:t>
      </w:r>
    </w:p>
    <w:p w14:paraId="7268EC29">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最低温度：-31.6℃</w:t>
      </w:r>
    </w:p>
    <w:p w14:paraId="6FCBE978">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夏季最高平均温度：28.7℃ </w:t>
      </w:r>
    </w:p>
    <w:p w14:paraId="3BD8E324">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冬季最低平均温度：-15.6℃ </w:t>
      </w:r>
    </w:p>
    <w:p w14:paraId="55CA3A01">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日最大温差：14℃</w:t>
      </w:r>
    </w:p>
    <w:p w14:paraId="62C9D110">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年平均温度：7.3℃</w:t>
      </w:r>
    </w:p>
    <w:p w14:paraId="5781BFAF">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冬季采暖室外计算温度：-17℃</w:t>
      </w:r>
    </w:p>
    <w:p w14:paraId="58BCDBB0">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通风室外计算温度：夏季 26℃ 冬季-10ºC</w:t>
      </w:r>
    </w:p>
    <w:p w14:paraId="23495B63">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0" w:firstLineChars="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2.2.2 相对湿度</w:t>
      </w:r>
    </w:p>
    <w:p w14:paraId="18551B67">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相对湿度：46</w:t>
      </w:r>
    </w:p>
    <w:p w14:paraId="285AA594">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夏季平均湿度：52% </w:t>
      </w:r>
    </w:p>
    <w:p w14:paraId="100FDD67">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冬季平均湿度：55%</w:t>
      </w:r>
    </w:p>
    <w:p w14:paraId="5B345765">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lang w:val="en-US" w:eastAsia="zh-CN"/>
        </w:rPr>
        <w:t xml:space="preserve">2.2.3 </w:t>
      </w:r>
      <w:r>
        <w:rPr>
          <w:rFonts w:hint="eastAsia" w:asciiTheme="minorEastAsia" w:hAnsiTheme="minorEastAsia" w:eastAsiaTheme="minorEastAsia" w:cstheme="minorEastAsia"/>
          <w:spacing w:val="-2"/>
          <w:sz w:val="24"/>
          <w:szCs w:val="24"/>
        </w:rPr>
        <w:t>降雨量</w:t>
      </w:r>
    </w:p>
    <w:p w14:paraId="580E8EFA">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 xml:space="preserve">年平均降雨量：85.3mm </w:t>
      </w:r>
    </w:p>
    <w:p w14:paraId="6E30DC18">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 xml:space="preserve">最大年降雨量：165.7mm </w:t>
      </w:r>
    </w:p>
    <w:p w14:paraId="230BF45E">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 xml:space="preserve">小时最大降雨量：18.8mm </w:t>
      </w:r>
    </w:p>
    <w:p w14:paraId="1209EFE3">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年平均降雨天数：41.3 天</w:t>
      </w:r>
    </w:p>
    <w:p w14:paraId="42143313">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2.2.4 风速、风向</w:t>
      </w:r>
    </w:p>
    <w:p w14:paraId="1D4D3AC0">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最大风速：34m/s</w:t>
      </w:r>
    </w:p>
    <w:p w14:paraId="07E7E6DA">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 xml:space="preserve">夏季平均风速：2.3m/s </w:t>
      </w:r>
    </w:p>
    <w:p w14:paraId="506BA37D">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 xml:space="preserve">冬季平均风速：2.1m/s </w:t>
      </w:r>
    </w:p>
    <w:p w14:paraId="5D85F758">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常年主导风向：西北风</w:t>
      </w:r>
    </w:p>
    <w:p w14:paraId="7E6509C7">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夏季主导风向：东南风</w:t>
      </w:r>
    </w:p>
    <w:p w14:paraId="1E36493B">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2.2.5 冻土</w:t>
      </w:r>
    </w:p>
    <w:p w14:paraId="00118ACB">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jc w:val="both"/>
        <w:textAlignment w:val="auto"/>
        <w:rPr>
          <w:rFonts w:hint="eastAsia" w:asciiTheme="minorEastAsia" w:hAnsiTheme="minorEastAsia" w:eastAsiaTheme="minorEastAsia" w:cstheme="minorEastAsia"/>
          <w:bCs/>
          <w:sz w:val="24"/>
          <w:szCs w:val="24"/>
          <w:lang w:val="en-US" w:eastAsia="en-US" w:bidi="ar-SA"/>
        </w:rPr>
      </w:pPr>
      <w:r>
        <w:rPr>
          <w:rFonts w:hint="eastAsia" w:asciiTheme="minorEastAsia" w:hAnsiTheme="minorEastAsia" w:eastAsiaTheme="minorEastAsia" w:cstheme="minorEastAsia"/>
          <w:bCs/>
          <w:sz w:val="24"/>
          <w:szCs w:val="24"/>
          <w:lang w:val="en-US" w:eastAsia="en-US" w:bidi="ar-SA"/>
        </w:rPr>
        <w:t>最大冻土深度 1.17m，最小冻土深度 0.83m，土壤冻结温度-26℃， 解冻期约需 1 个月，最大积雪厚度 0.14m。一般从 10 月中旬开始出现夜冻日消现象，11 月下旬进入稳定冻结期。0.05－0.1m 土层解冻期平均为 3 月上旬，最早 2 月下旬，最晚 3 月下旬。</w:t>
      </w:r>
    </w:p>
    <w:p w14:paraId="2DDEAB9D">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pacing w:val="-2"/>
          <w:sz w:val="24"/>
          <w:szCs w:val="24"/>
          <w:lang w:val="en-US" w:eastAsia="zh-CN"/>
        </w:rPr>
      </w:pPr>
      <w:r>
        <w:rPr>
          <w:rFonts w:hint="eastAsia" w:asciiTheme="minorEastAsia" w:hAnsiTheme="minorEastAsia" w:eastAsiaTheme="minorEastAsia" w:cstheme="minorEastAsia"/>
          <w:spacing w:val="-2"/>
          <w:sz w:val="24"/>
          <w:szCs w:val="24"/>
          <w:lang w:val="en-US" w:eastAsia="zh-CN"/>
        </w:rPr>
        <w:t>2.2.6 气压</w:t>
      </w:r>
    </w:p>
    <w:p w14:paraId="24CC3E8C">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jc w:val="both"/>
        <w:textAlignment w:val="auto"/>
        <w:rPr>
          <w:rFonts w:hint="eastAsia" w:asciiTheme="minorEastAsia" w:hAnsiTheme="minorEastAsia" w:eastAsiaTheme="minorEastAsia" w:cstheme="minorEastAsia"/>
          <w:bCs/>
          <w:sz w:val="24"/>
          <w:szCs w:val="24"/>
          <w:lang w:val="en-US" w:eastAsia="en-US" w:bidi="ar-SA"/>
        </w:rPr>
      </w:pPr>
      <w:r>
        <w:rPr>
          <w:rFonts w:hint="eastAsia" w:asciiTheme="minorEastAsia" w:hAnsiTheme="minorEastAsia" w:eastAsiaTheme="minorEastAsia" w:cstheme="minorEastAsia"/>
          <w:bCs/>
          <w:sz w:val="24"/>
          <w:szCs w:val="24"/>
          <w:lang w:val="en-US" w:eastAsia="en-US" w:bidi="ar-SA"/>
        </w:rPr>
        <w:t>平均气压 85.3kPa，冬季最大气压力 85.6kPa（642mmHg），夏季最大气压力 84.7kPa（635mmHg）。</w:t>
      </w:r>
    </w:p>
    <w:p w14:paraId="0FA88820">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0" w:firstLineChars="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lang w:val="en-US" w:eastAsia="zh-CN"/>
        </w:rPr>
        <w:t xml:space="preserve">2.2.7 </w:t>
      </w:r>
      <w:r>
        <w:rPr>
          <w:rFonts w:hint="eastAsia" w:asciiTheme="minorEastAsia" w:hAnsiTheme="minorEastAsia" w:eastAsiaTheme="minorEastAsia" w:cstheme="minorEastAsia"/>
          <w:spacing w:val="-3"/>
          <w:sz w:val="24"/>
          <w:szCs w:val="24"/>
        </w:rPr>
        <w:t>基本风压和雪压</w:t>
      </w:r>
    </w:p>
    <w:p w14:paraId="57B910EC">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32" w:firstLineChars="200"/>
        <w:textAlignment w:val="auto"/>
        <w:rPr>
          <w:rFonts w:hint="eastAsia" w:asciiTheme="minorEastAsia" w:hAnsiTheme="minorEastAsia" w:eastAsiaTheme="minorEastAsia" w:cstheme="minorEastAsia"/>
          <w:spacing w:val="-12"/>
          <w:sz w:val="24"/>
          <w:szCs w:val="24"/>
        </w:rPr>
      </w:pPr>
      <w:bookmarkStart w:id="12" w:name="酒钢冶金厂区年最大积雪量140mm，50年一遇风压和雪压分别为"/>
      <w:bookmarkEnd w:id="12"/>
      <w:r>
        <w:rPr>
          <w:rFonts w:hint="eastAsia" w:asciiTheme="minorEastAsia" w:hAnsiTheme="minorEastAsia" w:eastAsiaTheme="minorEastAsia" w:cstheme="minorEastAsia"/>
          <w:spacing w:val="-12"/>
          <w:sz w:val="24"/>
          <w:szCs w:val="24"/>
        </w:rPr>
        <w:t>酒钢冶金厂区年最大积雪量 140mm，50 年一遇风压和雪压分别为</w:t>
      </w:r>
      <w:bookmarkStart w:id="13" w:name="0.55kN/m2、0.30kN/m2。"/>
      <w:bookmarkEnd w:id="13"/>
      <w:r>
        <w:rPr>
          <w:rFonts w:hint="eastAsia" w:asciiTheme="minorEastAsia" w:hAnsiTheme="minorEastAsia" w:eastAsiaTheme="minorEastAsia" w:cstheme="minorEastAsia"/>
          <w:spacing w:val="-12"/>
          <w:sz w:val="24"/>
          <w:szCs w:val="24"/>
        </w:rPr>
        <w:t>0.55kN/m2、0.30kN/m2。</w:t>
      </w:r>
    </w:p>
    <w:p w14:paraId="41BB7AC1">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z w:val="24"/>
          <w:szCs w:val="24"/>
        </w:rPr>
      </w:pPr>
      <w:bookmarkStart w:id="14" w:name="3.2.8空气密度"/>
      <w:bookmarkEnd w:id="14"/>
      <w:bookmarkStart w:id="15" w:name="3.2.8空气密度"/>
      <w:bookmarkEnd w:id="15"/>
      <w:r>
        <w:rPr>
          <w:rFonts w:hint="eastAsia" w:asciiTheme="minorEastAsia" w:hAnsiTheme="minorEastAsia" w:eastAsiaTheme="minorEastAsia" w:cstheme="minorEastAsia"/>
          <w:spacing w:val="-2"/>
          <w:sz w:val="24"/>
          <w:szCs w:val="24"/>
          <w:lang w:val="en-US" w:eastAsia="zh-CN"/>
        </w:rPr>
        <w:t xml:space="preserve">2.2.8 </w:t>
      </w:r>
      <w:r>
        <w:rPr>
          <w:rFonts w:hint="eastAsia" w:asciiTheme="minorEastAsia" w:hAnsiTheme="minorEastAsia" w:eastAsiaTheme="minorEastAsia" w:cstheme="minorEastAsia"/>
          <w:spacing w:val="-2"/>
          <w:sz w:val="24"/>
          <w:szCs w:val="24"/>
        </w:rPr>
        <w:t>空气密度</w:t>
      </w:r>
    </w:p>
    <w:p w14:paraId="03ED190D">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bookmarkStart w:id="16" w:name="夏季ρ=1.0043kg/m3，冬季ρ=1.0133kg/m3。"/>
      <w:bookmarkEnd w:id="16"/>
      <w:r>
        <w:rPr>
          <w:rFonts w:hint="eastAsia" w:asciiTheme="minorEastAsia" w:hAnsiTheme="minorEastAsia" w:eastAsiaTheme="minorEastAsia" w:cstheme="minorEastAsia"/>
          <w:sz w:val="24"/>
          <w:szCs w:val="24"/>
        </w:rPr>
        <w:t>夏季ρ=1.0043kg/m3，冬季ρ=1.0133kg/m3。</w:t>
      </w:r>
    </w:p>
    <w:p w14:paraId="12C4FEBE">
      <w:pPr>
        <w:pStyle w:val="14"/>
        <w:keepNext w:val="0"/>
        <w:keepLines w:val="0"/>
        <w:pageBreakBefore w:val="0"/>
        <w:widowControl w:val="0"/>
        <w:numPr>
          <w:ilvl w:val="0"/>
          <w:numId w:val="0"/>
        </w:numPr>
        <w:tabs>
          <w:tab w:val="left" w:pos="1739"/>
        </w:tabs>
        <w:kinsoku/>
        <w:wordWrap/>
        <w:overflowPunct/>
        <w:topLinePunct w:val="0"/>
        <w:autoSpaceDE w:val="0"/>
        <w:autoSpaceDN w:val="0"/>
        <w:bidi w:val="0"/>
        <w:adjustRightInd/>
        <w:spacing w:before="0" w:after="0" w:line="360" w:lineRule="auto"/>
        <w:ind w:right="0" w:rightChars="0"/>
        <w:jc w:val="left"/>
        <w:textAlignment w:val="auto"/>
        <w:rPr>
          <w:rFonts w:hint="eastAsia" w:asciiTheme="minorEastAsia" w:hAnsiTheme="minorEastAsia" w:eastAsiaTheme="minorEastAsia" w:cstheme="minorEastAsia"/>
          <w:sz w:val="24"/>
          <w:szCs w:val="24"/>
        </w:rPr>
      </w:pPr>
      <w:bookmarkStart w:id="17" w:name="3.2.9其它"/>
      <w:bookmarkEnd w:id="17"/>
      <w:bookmarkStart w:id="18" w:name="3.2.9其它"/>
      <w:bookmarkEnd w:id="18"/>
      <w:r>
        <w:rPr>
          <w:rFonts w:hint="eastAsia" w:asciiTheme="minorEastAsia" w:hAnsiTheme="minorEastAsia" w:eastAsiaTheme="minorEastAsia" w:cstheme="minorEastAsia"/>
          <w:sz w:val="24"/>
          <w:szCs w:val="24"/>
          <w:lang w:val="en-US" w:eastAsia="zh-CN"/>
        </w:rPr>
        <w:t xml:space="preserve">2.2.9 </w:t>
      </w:r>
      <w:r>
        <w:rPr>
          <w:rFonts w:hint="eastAsia" w:asciiTheme="minorEastAsia" w:hAnsiTheme="minorEastAsia" w:eastAsiaTheme="minorEastAsia" w:cstheme="minorEastAsia"/>
          <w:sz w:val="24"/>
          <w:szCs w:val="24"/>
        </w:rPr>
        <w:t>其它</w:t>
      </w:r>
    </w:p>
    <w:p w14:paraId="388103E0">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jc w:val="both"/>
        <w:textAlignment w:val="auto"/>
        <w:rPr>
          <w:rFonts w:hint="eastAsia" w:asciiTheme="minorEastAsia" w:hAnsiTheme="minorEastAsia" w:eastAsiaTheme="minorEastAsia" w:cstheme="minorEastAsia"/>
          <w:bCs/>
          <w:sz w:val="24"/>
          <w:szCs w:val="24"/>
          <w:lang w:val="en-US" w:eastAsia="en-US" w:bidi="ar-SA"/>
        </w:rPr>
      </w:pPr>
      <w:bookmarkStart w:id="19" w:name="地下水位：-100m以下"/>
      <w:bookmarkEnd w:id="19"/>
      <w:r>
        <w:rPr>
          <w:rFonts w:hint="eastAsia" w:asciiTheme="minorEastAsia" w:hAnsiTheme="minorEastAsia" w:eastAsiaTheme="minorEastAsia" w:cstheme="minorEastAsia"/>
          <w:bCs/>
          <w:sz w:val="24"/>
          <w:szCs w:val="24"/>
          <w:lang w:val="en-US" w:eastAsia="en-US" w:bidi="ar-SA"/>
        </w:rPr>
        <w:t>地下水位：-100m</w:t>
      </w:r>
    </w:p>
    <w:p w14:paraId="0CD0449E">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jc w:val="both"/>
        <w:textAlignment w:val="auto"/>
        <w:rPr>
          <w:rFonts w:hint="eastAsia" w:asciiTheme="minorEastAsia" w:hAnsiTheme="minorEastAsia" w:eastAsiaTheme="minorEastAsia" w:cstheme="minorEastAsia"/>
          <w:bCs/>
          <w:sz w:val="24"/>
          <w:szCs w:val="24"/>
          <w:lang w:val="en-US" w:eastAsia="en-US" w:bidi="ar-SA"/>
        </w:rPr>
      </w:pPr>
      <w:r>
        <w:rPr>
          <w:rFonts w:hint="eastAsia" w:asciiTheme="minorEastAsia" w:hAnsiTheme="minorEastAsia" w:eastAsiaTheme="minorEastAsia" w:cstheme="minorEastAsia"/>
          <w:bCs/>
          <w:sz w:val="24"/>
          <w:szCs w:val="24"/>
          <w:lang w:val="en-US" w:eastAsia="en-US" w:bidi="ar-SA"/>
        </w:rPr>
        <w:t>以下</w:t>
      </w:r>
      <w:bookmarkStart w:id="20" w:name="土壤电阻率：3000Ω·m"/>
      <w:bookmarkEnd w:id="20"/>
      <w:r>
        <w:rPr>
          <w:rFonts w:hint="eastAsia" w:asciiTheme="minorEastAsia" w:hAnsiTheme="minorEastAsia" w:eastAsiaTheme="minorEastAsia" w:cstheme="minorEastAsia"/>
          <w:bCs/>
          <w:sz w:val="24"/>
          <w:szCs w:val="24"/>
          <w:lang w:val="en-US" w:eastAsia="en-US" w:bidi="ar-SA"/>
        </w:rPr>
        <w:t>土壤电阻率：3000Ω·m</w:t>
      </w:r>
    </w:p>
    <w:p w14:paraId="6E60D742">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1"/>
        <w:rPr>
          <w:rFonts w:hint="eastAsia" w:asciiTheme="minorEastAsia" w:hAnsiTheme="minorEastAsia" w:eastAsiaTheme="minorEastAsia" w:cstheme="minorEastAsia"/>
          <w:b/>
          <w:bCs w:val="0"/>
          <w:sz w:val="24"/>
          <w:szCs w:val="24"/>
          <w:lang w:val="en-US" w:eastAsia="zh-CN"/>
        </w:rPr>
      </w:pPr>
      <w:bookmarkStart w:id="21" w:name="3.3场地"/>
      <w:bookmarkEnd w:id="21"/>
      <w:bookmarkStart w:id="22" w:name="3.3场地"/>
      <w:bookmarkEnd w:id="22"/>
      <w:bookmarkStart w:id="23" w:name="_Toc23200"/>
      <w:bookmarkStart w:id="24" w:name="_Toc23271"/>
      <w:bookmarkStart w:id="25" w:name="_Toc23919"/>
      <w:r>
        <w:rPr>
          <w:rFonts w:hint="eastAsia" w:asciiTheme="minorEastAsia" w:hAnsiTheme="minorEastAsia" w:eastAsiaTheme="minorEastAsia" w:cstheme="minorEastAsia"/>
          <w:b/>
          <w:bCs w:val="0"/>
          <w:sz w:val="24"/>
          <w:szCs w:val="24"/>
          <w:lang w:val="en-US" w:eastAsia="zh-CN"/>
        </w:rPr>
        <w:t>2.3 场地</w:t>
      </w:r>
      <w:bookmarkEnd w:id="23"/>
      <w:bookmarkEnd w:id="24"/>
      <w:bookmarkEnd w:id="25"/>
    </w:p>
    <w:p w14:paraId="409DE908">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地质构造简单，岩层单一，自地表起为第四纪冲积而成的卵石层， 厚度大于 100m，卵石主要由沉积岩碎块组成，呈亚圆形，一般粒径为30～70mm，最大量为 180mm，碎石坚固，空隙充填中密－密实的中砂约30％；混少量漂石，卵石堆放致密，且多被钙质胶结，处于半胶结－胶结状态，地下水位埋深在 100m 以下。因地基土壤是孔隙为砂所充填的卵石，因此，土壤的物理力学性能较好，地基承载能力：500KPa，渗透性能好。</w:t>
      </w:r>
    </w:p>
    <w:p w14:paraId="74FD2321">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lang w:val="en-US" w:eastAsia="en-US"/>
        </w:rPr>
      </w:pPr>
      <w:r>
        <w:rPr>
          <w:rFonts w:hint="eastAsia" w:asciiTheme="minorEastAsia" w:hAnsiTheme="minorEastAsia" w:eastAsiaTheme="minorEastAsia" w:cstheme="minorEastAsia"/>
          <w:sz w:val="24"/>
          <w:szCs w:val="24"/>
          <w:lang w:val="en-US" w:eastAsia="en-US"/>
        </w:rPr>
        <w:t>嘉峪关附近有断层通过，该断层自黑山经嘉峪关城楼东侧、兰新铁路线，东南至文殊山，全长 38km。</w:t>
      </w:r>
    </w:p>
    <w:p w14:paraId="63263FF5">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1"/>
        <w:rPr>
          <w:rFonts w:hint="eastAsia" w:asciiTheme="minorEastAsia" w:hAnsiTheme="minorEastAsia" w:eastAsiaTheme="minorEastAsia" w:cstheme="minorEastAsia"/>
          <w:b/>
          <w:bCs w:val="0"/>
          <w:sz w:val="24"/>
          <w:szCs w:val="24"/>
          <w:lang w:val="en-US" w:eastAsia="zh-CN"/>
        </w:rPr>
      </w:pPr>
      <w:bookmarkStart w:id="26" w:name="_Toc18629"/>
      <w:bookmarkStart w:id="27" w:name="_Toc2845"/>
      <w:bookmarkStart w:id="28" w:name="_Toc26073"/>
      <w:r>
        <w:rPr>
          <w:rFonts w:hint="eastAsia" w:asciiTheme="minorEastAsia" w:hAnsiTheme="minorEastAsia" w:eastAsiaTheme="minorEastAsia" w:cstheme="minorEastAsia"/>
          <w:b/>
          <w:bCs w:val="0"/>
          <w:sz w:val="24"/>
          <w:szCs w:val="24"/>
          <w:lang w:val="en-US" w:eastAsia="zh-CN"/>
        </w:rPr>
        <w:t>2.4 地震烈度</w:t>
      </w:r>
      <w:bookmarkEnd w:id="26"/>
      <w:bookmarkEnd w:id="27"/>
      <w:bookmarkEnd w:id="28"/>
    </w:p>
    <w:p w14:paraId="31B75F3C">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根据《中国地震动参数区划图》（GB18306-2015），拟建场地的抗</w:t>
      </w:r>
      <w:r>
        <w:rPr>
          <w:rFonts w:hint="eastAsia" w:asciiTheme="minorEastAsia" w:hAnsiTheme="minorEastAsia" w:eastAsiaTheme="minorEastAsia" w:cstheme="minorEastAsia"/>
          <w:spacing w:val="-5"/>
          <w:sz w:val="24"/>
          <w:szCs w:val="24"/>
        </w:rPr>
        <w:t xml:space="preserve">震设防烈度为 </w:t>
      </w:r>
      <w:r>
        <w:rPr>
          <w:rFonts w:hint="eastAsia" w:asciiTheme="minorEastAsia" w:hAnsiTheme="minorEastAsia" w:eastAsiaTheme="minorEastAsia" w:cstheme="minorEastAsia"/>
          <w:sz w:val="24"/>
          <w:szCs w:val="24"/>
        </w:rPr>
        <w:t>8</w:t>
      </w:r>
      <w:r>
        <w:rPr>
          <w:rFonts w:hint="eastAsia" w:asciiTheme="minorEastAsia" w:hAnsiTheme="minorEastAsia" w:eastAsiaTheme="minorEastAsia" w:cstheme="minorEastAsia"/>
          <w:spacing w:val="-22"/>
          <w:sz w:val="24"/>
          <w:szCs w:val="24"/>
        </w:rPr>
        <w:t xml:space="preserve"> 度</w:t>
      </w:r>
      <w:r>
        <w:rPr>
          <w:rFonts w:hint="eastAsia" w:asciiTheme="minorEastAsia" w:hAnsiTheme="minorEastAsia" w:eastAsiaTheme="minorEastAsia" w:cstheme="minorEastAsia"/>
          <w:spacing w:val="1"/>
          <w:sz w:val="24"/>
          <w:szCs w:val="24"/>
        </w:rPr>
        <w:t>（0.2g），</w:t>
      </w:r>
      <w:r>
        <w:rPr>
          <w:rFonts w:hint="eastAsia" w:asciiTheme="minorEastAsia" w:hAnsiTheme="minorEastAsia" w:eastAsiaTheme="minorEastAsia" w:cstheme="minorEastAsia"/>
          <w:spacing w:val="-6"/>
          <w:sz w:val="24"/>
          <w:szCs w:val="24"/>
        </w:rPr>
        <w:t xml:space="preserve">水平加速度 </w:t>
      </w:r>
      <w:r>
        <w:rPr>
          <w:rFonts w:hint="eastAsia" w:asciiTheme="minorEastAsia" w:hAnsiTheme="minorEastAsia" w:eastAsiaTheme="minorEastAsia" w:cstheme="minorEastAsia"/>
          <w:sz w:val="24"/>
          <w:szCs w:val="24"/>
        </w:rPr>
        <w:t>0.165g</w:t>
      </w:r>
      <w:r>
        <w:rPr>
          <w:rFonts w:hint="eastAsia" w:asciiTheme="minorEastAsia" w:hAnsiTheme="minorEastAsia" w:eastAsiaTheme="minorEastAsia" w:cstheme="minorEastAsia"/>
          <w:spacing w:val="-6"/>
          <w:sz w:val="24"/>
          <w:szCs w:val="24"/>
        </w:rPr>
        <w:t xml:space="preserve">，垂直加速度 </w:t>
      </w:r>
      <w:r>
        <w:rPr>
          <w:rFonts w:hint="eastAsia" w:asciiTheme="minorEastAsia" w:hAnsiTheme="minorEastAsia" w:eastAsiaTheme="minorEastAsia" w:cstheme="minorEastAsia"/>
          <w:sz w:val="24"/>
          <w:szCs w:val="24"/>
        </w:rPr>
        <w:t>0.083g</w:t>
      </w:r>
      <w:r>
        <w:rPr>
          <w:rFonts w:hint="eastAsia" w:asciiTheme="minorEastAsia" w:hAnsiTheme="minorEastAsia" w:eastAsiaTheme="minorEastAsia" w:cstheme="minorEastAsia"/>
          <w:w w:val="100"/>
          <w:sz w:val="24"/>
          <w:szCs w:val="24"/>
        </w:rPr>
        <w:t>。</w:t>
      </w:r>
    </w:p>
    <w:p w14:paraId="515F08FA">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1"/>
        <w:rPr>
          <w:rFonts w:hint="eastAsia" w:asciiTheme="minorEastAsia" w:hAnsiTheme="minorEastAsia" w:eastAsiaTheme="minorEastAsia" w:cstheme="minorEastAsia"/>
          <w:b/>
          <w:bCs w:val="0"/>
          <w:sz w:val="24"/>
          <w:szCs w:val="24"/>
          <w:lang w:val="en-US" w:eastAsia="zh-CN"/>
        </w:rPr>
      </w:pPr>
      <w:bookmarkStart w:id="29" w:name="3.5设计条件"/>
      <w:bookmarkEnd w:id="29"/>
      <w:bookmarkStart w:id="30" w:name="3.5设计条件"/>
      <w:bookmarkEnd w:id="30"/>
      <w:bookmarkStart w:id="31" w:name="_Toc10184"/>
      <w:bookmarkStart w:id="32" w:name="_Toc18465"/>
      <w:bookmarkStart w:id="33" w:name="_Toc30309"/>
      <w:r>
        <w:rPr>
          <w:rFonts w:hint="eastAsia" w:asciiTheme="minorEastAsia" w:hAnsiTheme="minorEastAsia" w:eastAsiaTheme="minorEastAsia" w:cstheme="minorEastAsia"/>
          <w:b/>
          <w:bCs w:val="0"/>
          <w:sz w:val="24"/>
          <w:szCs w:val="24"/>
          <w:lang w:val="en-US" w:eastAsia="zh-CN"/>
        </w:rPr>
        <w:t>2.5 设计条件</w:t>
      </w:r>
      <w:bookmarkEnd w:id="31"/>
      <w:bookmarkEnd w:id="32"/>
      <w:bookmarkEnd w:id="33"/>
    </w:p>
    <w:p w14:paraId="3DC6839F">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基本风荷载</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0.65kN/㎡</w:t>
      </w:r>
    </w:p>
    <w:p w14:paraId="629E6BA8">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基本雪荷载</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0.25kN/m</w:t>
      </w:r>
    </w:p>
    <w:p w14:paraId="09375F6F">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抗震设防烈度</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8 度</w:t>
      </w:r>
    </w:p>
    <w:p w14:paraId="465F4877">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冬季通风室外计算温度：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 xml:space="preserve">-9.0℃ </w:t>
      </w:r>
    </w:p>
    <w:p w14:paraId="1510DD3A">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夏季通风室外计算温度：</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26.3℃</w:t>
      </w:r>
    </w:p>
    <w:p w14:paraId="64725E7A">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right="0" w:firstLine="480" w:firstLineChars="200"/>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海拔：≥2000m</w:t>
      </w:r>
    </w:p>
    <w:p w14:paraId="059A6099">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34" w:name="_Toc15639"/>
      <w:bookmarkStart w:id="35" w:name="_Toc5722"/>
      <w:bookmarkStart w:id="36" w:name="_Toc12298"/>
      <w:r>
        <w:rPr>
          <w:rFonts w:hint="eastAsia" w:asciiTheme="minorEastAsia" w:hAnsiTheme="minorEastAsia" w:eastAsiaTheme="minorEastAsia" w:cstheme="minorEastAsia"/>
          <w:b/>
          <w:bCs w:val="0"/>
          <w:sz w:val="24"/>
          <w:szCs w:val="24"/>
          <w:lang w:val="en-US" w:eastAsia="zh-CN"/>
        </w:rPr>
        <w:t>3、执行标准</w:t>
      </w:r>
      <w:bookmarkEnd w:id="34"/>
      <w:bookmarkEnd w:id="35"/>
      <w:bookmarkEnd w:id="36"/>
    </w:p>
    <w:tbl>
      <w:tblPr>
        <w:tblStyle w:val="10"/>
        <w:tblW w:w="4676" w:type="pct"/>
        <w:jc w:val="center"/>
        <w:tblLayout w:type="fixed"/>
        <w:tblCellMar>
          <w:top w:w="0" w:type="dxa"/>
          <w:left w:w="108" w:type="dxa"/>
          <w:bottom w:w="0" w:type="dxa"/>
          <w:right w:w="108" w:type="dxa"/>
        </w:tblCellMar>
      </w:tblPr>
      <w:tblGrid>
        <w:gridCol w:w="1913"/>
        <w:gridCol w:w="6242"/>
      </w:tblGrid>
      <w:tr w14:paraId="28CF8818">
        <w:tblPrEx>
          <w:tblCellMar>
            <w:top w:w="0" w:type="dxa"/>
            <w:left w:w="108" w:type="dxa"/>
            <w:bottom w:w="0" w:type="dxa"/>
            <w:right w:w="108" w:type="dxa"/>
          </w:tblCellMar>
        </w:tblPrEx>
        <w:trPr>
          <w:trHeight w:val="90"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6582855">
            <w:pPr>
              <w:keepNext w:val="0"/>
              <w:keepLines w:val="0"/>
              <w:pageBreakBefore w:val="0"/>
              <w:kinsoku/>
              <w:wordWrap/>
              <w:overflowPunct/>
              <w:topLinePunct/>
              <w:autoSpaceDE/>
              <w:autoSpaceDN/>
              <w:bidi w:val="0"/>
              <w:adjustRightInd/>
              <w:snapToGrid/>
              <w:spacing w:line="240" w:lineRule="atLeas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标 准 号</w:t>
            </w:r>
          </w:p>
        </w:tc>
        <w:tc>
          <w:tcPr>
            <w:tcW w:w="3827" w:type="pct"/>
            <w:tcBorders>
              <w:top w:val="single" w:color="auto" w:sz="4" w:space="0"/>
              <w:left w:val="single" w:color="auto" w:sz="4" w:space="0"/>
              <w:bottom w:val="single" w:color="auto" w:sz="4" w:space="0"/>
              <w:right w:val="single" w:color="auto" w:sz="4" w:space="0"/>
            </w:tcBorders>
            <w:noWrap/>
            <w:vAlign w:val="center"/>
          </w:tcPr>
          <w:p w14:paraId="1D425E80">
            <w:pPr>
              <w:keepNext w:val="0"/>
              <w:keepLines w:val="0"/>
              <w:pageBreakBefore w:val="0"/>
              <w:kinsoku/>
              <w:wordWrap/>
              <w:overflowPunct/>
              <w:topLinePunct/>
              <w:autoSpaceDE/>
              <w:autoSpaceDN/>
              <w:bidi w:val="0"/>
              <w:adjustRightInd/>
              <w:snapToGrid/>
              <w:spacing w:line="240" w:lineRule="atLeast"/>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标 准 名 称</w:t>
            </w:r>
          </w:p>
        </w:tc>
      </w:tr>
      <w:tr w14:paraId="2D27DD2A">
        <w:tblPrEx>
          <w:tblCellMar>
            <w:top w:w="0" w:type="dxa"/>
            <w:left w:w="108" w:type="dxa"/>
            <w:bottom w:w="0" w:type="dxa"/>
            <w:right w:w="108" w:type="dxa"/>
          </w:tblCellMar>
        </w:tblPrEx>
        <w:trPr>
          <w:trHeight w:val="234"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394FF3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GB156</w:t>
            </w:r>
          </w:p>
        </w:tc>
        <w:tc>
          <w:tcPr>
            <w:tcW w:w="3827" w:type="pct"/>
            <w:tcBorders>
              <w:top w:val="single" w:color="auto" w:sz="4" w:space="0"/>
              <w:left w:val="single" w:color="auto" w:sz="4" w:space="0"/>
              <w:bottom w:val="single" w:color="auto" w:sz="4" w:space="0"/>
              <w:right w:val="single" w:color="auto" w:sz="4" w:space="0"/>
            </w:tcBorders>
            <w:noWrap/>
            <w:vAlign w:val="center"/>
          </w:tcPr>
          <w:p w14:paraId="4078445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标准电压</w:t>
            </w:r>
          </w:p>
        </w:tc>
      </w:tr>
      <w:tr w14:paraId="1D081DCE">
        <w:tblPrEx>
          <w:tblCellMar>
            <w:top w:w="0" w:type="dxa"/>
            <w:left w:w="108" w:type="dxa"/>
            <w:bottom w:w="0" w:type="dxa"/>
            <w:right w:w="108" w:type="dxa"/>
          </w:tblCellMar>
        </w:tblPrEx>
        <w:trPr>
          <w:trHeight w:val="22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CB62FD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GB/T762</w:t>
            </w:r>
          </w:p>
        </w:tc>
        <w:tc>
          <w:tcPr>
            <w:tcW w:w="3827" w:type="pct"/>
            <w:tcBorders>
              <w:top w:val="single" w:color="auto" w:sz="4" w:space="0"/>
              <w:left w:val="single" w:color="auto" w:sz="4" w:space="0"/>
              <w:bottom w:val="single" w:color="auto" w:sz="4" w:space="0"/>
              <w:right w:val="single" w:color="auto" w:sz="4" w:space="0"/>
            </w:tcBorders>
            <w:noWrap/>
            <w:vAlign w:val="center"/>
          </w:tcPr>
          <w:p w14:paraId="7C792CE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标准电流</w:t>
            </w:r>
          </w:p>
        </w:tc>
      </w:tr>
      <w:tr w14:paraId="423C3975">
        <w:tblPrEx>
          <w:tblCellMar>
            <w:top w:w="0" w:type="dxa"/>
            <w:left w:w="108" w:type="dxa"/>
            <w:bottom w:w="0" w:type="dxa"/>
            <w:right w:w="108" w:type="dxa"/>
          </w:tblCellMar>
        </w:tblPrEx>
        <w:trPr>
          <w:trHeight w:val="362"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3078766A">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GB2900.1</w:t>
            </w:r>
          </w:p>
        </w:tc>
        <w:tc>
          <w:tcPr>
            <w:tcW w:w="3827" w:type="pct"/>
            <w:tcBorders>
              <w:top w:val="single" w:color="auto" w:sz="4" w:space="0"/>
              <w:left w:val="single" w:color="auto" w:sz="4" w:space="0"/>
              <w:bottom w:val="single" w:color="auto" w:sz="4" w:space="0"/>
              <w:right w:val="single" w:color="auto" w:sz="4" w:space="0"/>
            </w:tcBorders>
            <w:noWrap/>
            <w:vAlign w:val="center"/>
          </w:tcPr>
          <w:p w14:paraId="0CDA2B6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电工名词术语   基本名词术语</w:t>
            </w:r>
          </w:p>
        </w:tc>
      </w:tr>
      <w:tr w14:paraId="0DD2A4C6">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524DA6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GB3906</w:t>
            </w:r>
          </w:p>
        </w:tc>
        <w:tc>
          <w:tcPr>
            <w:tcW w:w="3827" w:type="pct"/>
            <w:tcBorders>
              <w:top w:val="single" w:color="auto" w:sz="4" w:space="0"/>
              <w:left w:val="single" w:color="auto" w:sz="4" w:space="0"/>
              <w:bottom w:val="single" w:color="auto" w:sz="4" w:space="0"/>
              <w:right w:val="single" w:color="auto" w:sz="4" w:space="0"/>
            </w:tcBorders>
            <w:noWrap/>
            <w:vAlign w:val="center"/>
          </w:tcPr>
          <w:p w14:paraId="4CC71A2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3.6kV～40.5kV交流金属封闭开关设备和控制设备</w:t>
            </w:r>
          </w:p>
        </w:tc>
      </w:tr>
      <w:tr w14:paraId="0DAEDE7B">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75DCF5B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GB3309</w:t>
            </w:r>
          </w:p>
        </w:tc>
        <w:tc>
          <w:tcPr>
            <w:tcW w:w="3827" w:type="pct"/>
            <w:tcBorders>
              <w:top w:val="single" w:color="auto" w:sz="4" w:space="0"/>
              <w:left w:val="single" w:color="auto" w:sz="4" w:space="0"/>
              <w:bottom w:val="single" w:color="auto" w:sz="4" w:space="0"/>
              <w:right w:val="single" w:color="auto" w:sz="4" w:space="0"/>
            </w:tcBorders>
            <w:noWrap/>
            <w:vAlign w:val="center"/>
          </w:tcPr>
          <w:p w14:paraId="4CAB3807">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高压开关设备常温下的机械试验</w:t>
            </w:r>
          </w:p>
        </w:tc>
      </w:tr>
      <w:tr w14:paraId="02C574A7">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073A77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GB311.1</w:t>
            </w:r>
          </w:p>
        </w:tc>
        <w:tc>
          <w:tcPr>
            <w:tcW w:w="3827" w:type="pct"/>
            <w:tcBorders>
              <w:top w:val="single" w:color="auto" w:sz="4" w:space="0"/>
              <w:left w:val="single" w:color="auto" w:sz="4" w:space="0"/>
              <w:bottom w:val="single" w:color="auto" w:sz="4" w:space="0"/>
              <w:right w:val="single" w:color="auto" w:sz="4" w:space="0"/>
            </w:tcBorders>
            <w:noWrap/>
            <w:vAlign w:val="center"/>
          </w:tcPr>
          <w:p w14:paraId="1D65959A">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高压输变电设备的绝缘配合</w:t>
            </w:r>
          </w:p>
        </w:tc>
      </w:tr>
      <w:tr w14:paraId="106178D0">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6880AC47">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GB311.2</w:t>
            </w:r>
          </w:p>
        </w:tc>
        <w:tc>
          <w:tcPr>
            <w:tcW w:w="3827" w:type="pct"/>
            <w:tcBorders>
              <w:top w:val="single" w:color="auto" w:sz="4" w:space="0"/>
              <w:left w:val="single" w:color="auto" w:sz="4" w:space="0"/>
              <w:bottom w:val="single" w:color="auto" w:sz="4" w:space="0"/>
              <w:right w:val="single" w:color="auto" w:sz="4" w:space="0"/>
            </w:tcBorders>
            <w:noWrap/>
            <w:vAlign w:val="center"/>
          </w:tcPr>
          <w:p w14:paraId="20B8FBD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高电压试验技术</w:t>
            </w:r>
          </w:p>
        </w:tc>
      </w:tr>
      <w:tr w14:paraId="1DF9B39E">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54328E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GB4208</w:t>
            </w:r>
          </w:p>
        </w:tc>
        <w:tc>
          <w:tcPr>
            <w:tcW w:w="3827" w:type="pct"/>
            <w:tcBorders>
              <w:top w:val="single" w:color="auto" w:sz="4" w:space="0"/>
              <w:left w:val="single" w:color="auto" w:sz="4" w:space="0"/>
              <w:bottom w:val="single" w:color="auto" w:sz="4" w:space="0"/>
              <w:right w:val="single" w:color="auto" w:sz="4" w:space="0"/>
            </w:tcBorders>
            <w:noWrap/>
            <w:vAlign w:val="center"/>
          </w:tcPr>
          <w:p w14:paraId="7A95548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外壳防护等级（IP代码）</w:t>
            </w:r>
          </w:p>
        </w:tc>
      </w:tr>
      <w:tr w14:paraId="225AAEB2">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F3BA7A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GB7354</w:t>
            </w:r>
          </w:p>
        </w:tc>
        <w:tc>
          <w:tcPr>
            <w:tcW w:w="3827" w:type="pct"/>
            <w:tcBorders>
              <w:top w:val="single" w:color="auto" w:sz="4" w:space="0"/>
              <w:left w:val="single" w:color="auto" w:sz="4" w:space="0"/>
              <w:bottom w:val="single" w:color="auto" w:sz="4" w:space="0"/>
              <w:right w:val="single" w:color="auto" w:sz="4" w:space="0"/>
            </w:tcBorders>
            <w:noWrap/>
            <w:vAlign w:val="center"/>
          </w:tcPr>
          <w:p w14:paraId="61C1D5E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局部放电测量</w:t>
            </w:r>
          </w:p>
        </w:tc>
      </w:tr>
      <w:tr w14:paraId="119A534C">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99A070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GB1984</w:t>
            </w:r>
          </w:p>
        </w:tc>
        <w:tc>
          <w:tcPr>
            <w:tcW w:w="3827" w:type="pct"/>
            <w:tcBorders>
              <w:top w:val="single" w:color="auto" w:sz="4" w:space="0"/>
              <w:left w:val="single" w:color="auto" w:sz="4" w:space="0"/>
              <w:bottom w:val="single" w:color="auto" w:sz="4" w:space="0"/>
              <w:right w:val="single" w:color="auto" w:sz="4" w:space="0"/>
            </w:tcBorders>
            <w:noWrap/>
            <w:vAlign w:val="center"/>
          </w:tcPr>
          <w:p w14:paraId="6759ADB5">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交流高压断路器</w:t>
            </w:r>
          </w:p>
        </w:tc>
      </w:tr>
      <w:tr w14:paraId="1D278016">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2AFFF6E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GB1985</w:t>
            </w:r>
          </w:p>
        </w:tc>
        <w:tc>
          <w:tcPr>
            <w:tcW w:w="3827" w:type="pct"/>
            <w:tcBorders>
              <w:top w:val="single" w:color="auto" w:sz="4" w:space="0"/>
              <w:left w:val="single" w:color="auto" w:sz="4" w:space="0"/>
              <w:bottom w:val="single" w:color="auto" w:sz="4" w:space="0"/>
              <w:right w:val="single" w:color="auto" w:sz="4" w:space="0"/>
            </w:tcBorders>
            <w:noWrap/>
            <w:vAlign w:val="center"/>
          </w:tcPr>
          <w:p w14:paraId="47C35B2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高压交流隔离开关和接地开关</w:t>
            </w:r>
          </w:p>
        </w:tc>
      </w:tr>
      <w:tr w14:paraId="65A5AAF2">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1720B0CD">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GB11022</w:t>
            </w:r>
          </w:p>
        </w:tc>
        <w:tc>
          <w:tcPr>
            <w:tcW w:w="3827" w:type="pct"/>
            <w:tcBorders>
              <w:top w:val="single" w:color="auto" w:sz="4" w:space="0"/>
              <w:left w:val="single" w:color="auto" w:sz="4" w:space="0"/>
              <w:bottom w:val="single" w:color="auto" w:sz="4" w:space="0"/>
              <w:right w:val="single" w:color="auto" w:sz="4" w:space="0"/>
            </w:tcBorders>
            <w:noWrap/>
            <w:vAlign w:val="center"/>
          </w:tcPr>
          <w:p w14:paraId="042D2BC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高压开关设备和控制设备标准的共用技术要求</w:t>
            </w:r>
          </w:p>
        </w:tc>
      </w:tr>
      <w:tr w14:paraId="1DEC7D6C">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770516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GB11023</w:t>
            </w:r>
          </w:p>
        </w:tc>
        <w:tc>
          <w:tcPr>
            <w:tcW w:w="3827" w:type="pct"/>
            <w:tcBorders>
              <w:top w:val="single" w:color="auto" w:sz="4" w:space="0"/>
              <w:left w:val="single" w:color="auto" w:sz="4" w:space="0"/>
              <w:bottom w:val="single" w:color="auto" w:sz="4" w:space="0"/>
              <w:right w:val="single" w:color="auto" w:sz="4" w:space="0"/>
            </w:tcBorders>
            <w:noWrap/>
            <w:vAlign w:val="center"/>
          </w:tcPr>
          <w:p w14:paraId="2F3B911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高压开关设备六氟化硫气体密封试验导则</w:t>
            </w:r>
          </w:p>
        </w:tc>
      </w:tr>
      <w:tr w14:paraId="4469A4CA">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648A579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GB14808</w:t>
            </w:r>
          </w:p>
        </w:tc>
        <w:tc>
          <w:tcPr>
            <w:tcW w:w="3827" w:type="pct"/>
            <w:tcBorders>
              <w:top w:val="single" w:color="auto" w:sz="4" w:space="0"/>
              <w:left w:val="single" w:color="auto" w:sz="4" w:space="0"/>
              <w:bottom w:val="single" w:color="auto" w:sz="4" w:space="0"/>
              <w:right w:val="single" w:color="auto" w:sz="4" w:space="0"/>
            </w:tcBorders>
            <w:noWrap/>
            <w:vAlign w:val="center"/>
          </w:tcPr>
          <w:p w14:paraId="01C4E0CB">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交流高压接触器</w:t>
            </w:r>
          </w:p>
        </w:tc>
      </w:tr>
      <w:tr w14:paraId="7DCAE68C">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76AEE12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GB/T16927.1.2</w:t>
            </w:r>
          </w:p>
        </w:tc>
        <w:tc>
          <w:tcPr>
            <w:tcW w:w="3827" w:type="pct"/>
            <w:tcBorders>
              <w:top w:val="single" w:color="auto" w:sz="4" w:space="0"/>
              <w:left w:val="single" w:color="auto" w:sz="4" w:space="0"/>
              <w:bottom w:val="single" w:color="auto" w:sz="4" w:space="0"/>
              <w:right w:val="single" w:color="auto" w:sz="4" w:space="0"/>
            </w:tcBorders>
            <w:noWrap/>
            <w:vAlign w:val="center"/>
          </w:tcPr>
          <w:p w14:paraId="393B06E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高压试验技术</w:t>
            </w:r>
          </w:p>
        </w:tc>
      </w:tr>
      <w:tr w14:paraId="0D7D65E4">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276879A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GB10237</w:t>
            </w:r>
          </w:p>
        </w:tc>
        <w:tc>
          <w:tcPr>
            <w:tcW w:w="3827" w:type="pct"/>
            <w:tcBorders>
              <w:top w:val="single" w:color="auto" w:sz="4" w:space="0"/>
              <w:left w:val="single" w:color="auto" w:sz="4" w:space="0"/>
              <w:bottom w:val="single" w:color="auto" w:sz="4" w:space="0"/>
              <w:right w:val="single" w:color="auto" w:sz="4" w:space="0"/>
            </w:tcBorders>
            <w:noWrap/>
            <w:vAlign w:val="center"/>
          </w:tcPr>
          <w:p w14:paraId="7A02F72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绝缘水平和绝缘试验、外绝缘空气间隙</w:t>
            </w:r>
          </w:p>
        </w:tc>
      </w:tr>
      <w:tr w14:paraId="4455D8A2">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62EB72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GB50150</w:t>
            </w:r>
          </w:p>
        </w:tc>
        <w:tc>
          <w:tcPr>
            <w:tcW w:w="3827" w:type="pct"/>
            <w:tcBorders>
              <w:top w:val="single" w:color="auto" w:sz="4" w:space="0"/>
              <w:left w:val="single" w:color="auto" w:sz="4" w:space="0"/>
              <w:bottom w:val="single" w:color="auto" w:sz="4" w:space="0"/>
              <w:right w:val="single" w:color="auto" w:sz="4" w:space="0"/>
            </w:tcBorders>
            <w:noWrap/>
            <w:vAlign w:val="center"/>
          </w:tcPr>
          <w:p w14:paraId="75D40CFD">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电气装置安装工程电气设备交接试验标准</w:t>
            </w:r>
          </w:p>
        </w:tc>
      </w:tr>
      <w:tr w14:paraId="397ADDDD">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24F4103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GB191</w:t>
            </w:r>
          </w:p>
        </w:tc>
        <w:tc>
          <w:tcPr>
            <w:tcW w:w="3827" w:type="pct"/>
            <w:tcBorders>
              <w:top w:val="single" w:color="auto" w:sz="4" w:space="0"/>
              <w:left w:val="single" w:color="auto" w:sz="4" w:space="0"/>
              <w:bottom w:val="single" w:color="auto" w:sz="4" w:space="0"/>
              <w:right w:val="single" w:color="auto" w:sz="4" w:space="0"/>
            </w:tcBorders>
            <w:noWrap/>
            <w:vAlign w:val="center"/>
          </w:tcPr>
          <w:p w14:paraId="1698617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包装、储运指示标志</w:t>
            </w:r>
          </w:p>
        </w:tc>
      </w:tr>
      <w:tr w14:paraId="1FAABEA7">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B11E86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GB1207</w:t>
            </w:r>
          </w:p>
        </w:tc>
        <w:tc>
          <w:tcPr>
            <w:tcW w:w="3827" w:type="pct"/>
            <w:tcBorders>
              <w:top w:val="single" w:color="auto" w:sz="4" w:space="0"/>
              <w:left w:val="single" w:color="auto" w:sz="4" w:space="0"/>
              <w:bottom w:val="single" w:color="auto" w:sz="4" w:space="0"/>
              <w:right w:val="single" w:color="auto" w:sz="4" w:space="0"/>
            </w:tcBorders>
            <w:noWrap/>
            <w:vAlign w:val="center"/>
          </w:tcPr>
          <w:p w14:paraId="3A9ABE6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电压互感器</w:t>
            </w:r>
          </w:p>
        </w:tc>
      </w:tr>
      <w:tr w14:paraId="60EA4034">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41EFAE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GB1208</w:t>
            </w:r>
          </w:p>
        </w:tc>
        <w:tc>
          <w:tcPr>
            <w:tcW w:w="3827" w:type="pct"/>
            <w:tcBorders>
              <w:top w:val="single" w:color="auto" w:sz="4" w:space="0"/>
              <w:left w:val="single" w:color="auto" w:sz="4" w:space="0"/>
              <w:bottom w:val="single" w:color="auto" w:sz="4" w:space="0"/>
              <w:right w:val="single" w:color="auto" w:sz="4" w:space="0"/>
            </w:tcBorders>
            <w:noWrap/>
            <w:vAlign w:val="center"/>
          </w:tcPr>
          <w:p w14:paraId="7509EF91">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电流互感器</w:t>
            </w:r>
          </w:p>
        </w:tc>
      </w:tr>
      <w:tr w14:paraId="36D2B560">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000678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GB11032</w:t>
            </w:r>
          </w:p>
        </w:tc>
        <w:tc>
          <w:tcPr>
            <w:tcW w:w="3827" w:type="pct"/>
            <w:tcBorders>
              <w:top w:val="single" w:color="auto" w:sz="4" w:space="0"/>
              <w:left w:val="single" w:color="auto" w:sz="4" w:space="0"/>
              <w:bottom w:val="single" w:color="auto" w:sz="4" w:space="0"/>
              <w:right w:val="single" w:color="auto" w:sz="4" w:space="0"/>
            </w:tcBorders>
            <w:noWrap/>
            <w:vAlign w:val="center"/>
          </w:tcPr>
          <w:p w14:paraId="3549B724">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交流无间隙金属氧化锌避雷器</w:t>
            </w:r>
          </w:p>
        </w:tc>
      </w:tr>
      <w:tr w14:paraId="5A741981">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366EAC7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GB772</w:t>
            </w:r>
          </w:p>
        </w:tc>
        <w:tc>
          <w:tcPr>
            <w:tcW w:w="3827" w:type="pct"/>
            <w:tcBorders>
              <w:top w:val="single" w:color="auto" w:sz="4" w:space="0"/>
              <w:left w:val="single" w:color="auto" w:sz="4" w:space="0"/>
              <w:bottom w:val="single" w:color="auto" w:sz="4" w:space="0"/>
              <w:right w:val="single" w:color="auto" w:sz="4" w:space="0"/>
            </w:tcBorders>
            <w:noWrap/>
            <w:vAlign w:val="center"/>
          </w:tcPr>
          <w:p w14:paraId="0CFEAD6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高压绝缘子瓷件技术条件</w:t>
            </w:r>
          </w:p>
        </w:tc>
      </w:tr>
      <w:tr w14:paraId="68E9B8EB">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55E28934">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GB/T8349</w:t>
            </w:r>
          </w:p>
        </w:tc>
        <w:tc>
          <w:tcPr>
            <w:tcW w:w="3827" w:type="pct"/>
            <w:tcBorders>
              <w:top w:val="single" w:color="auto" w:sz="4" w:space="0"/>
              <w:left w:val="single" w:color="auto" w:sz="4" w:space="0"/>
              <w:bottom w:val="single" w:color="auto" w:sz="4" w:space="0"/>
              <w:right w:val="single" w:color="auto" w:sz="4" w:space="0"/>
            </w:tcBorders>
            <w:noWrap/>
            <w:vAlign w:val="center"/>
          </w:tcPr>
          <w:p w14:paraId="641A5DF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金属封闭母线</w:t>
            </w:r>
          </w:p>
        </w:tc>
      </w:tr>
      <w:tr w14:paraId="79D1ADCB">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77C06E2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GB2706</w:t>
            </w:r>
          </w:p>
        </w:tc>
        <w:tc>
          <w:tcPr>
            <w:tcW w:w="3827" w:type="pct"/>
            <w:tcBorders>
              <w:top w:val="single" w:color="auto" w:sz="4" w:space="0"/>
              <w:left w:val="single" w:color="auto" w:sz="4" w:space="0"/>
              <w:bottom w:val="single" w:color="auto" w:sz="4" w:space="0"/>
              <w:right w:val="single" w:color="auto" w:sz="4" w:space="0"/>
            </w:tcBorders>
            <w:noWrap/>
            <w:vAlign w:val="center"/>
          </w:tcPr>
          <w:p w14:paraId="769CF7C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交流高压电器动热稳定试验方法</w:t>
            </w:r>
          </w:p>
        </w:tc>
      </w:tr>
      <w:tr w14:paraId="5C870569">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5F1ECD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GB763</w:t>
            </w:r>
          </w:p>
        </w:tc>
        <w:tc>
          <w:tcPr>
            <w:tcW w:w="3827" w:type="pct"/>
            <w:tcBorders>
              <w:top w:val="single" w:color="auto" w:sz="4" w:space="0"/>
              <w:left w:val="single" w:color="auto" w:sz="4" w:space="0"/>
              <w:bottom w:val="single" w:color="auto" w:sz="4" w:space="0"/>
              <w:right w:val="single" w:color="auto" w:sz="4" w:space="0"/>
            </w:tcBorders>
            <w:noWrap/>
            <w:vAlign w:val="center"/>
          </w:tcPr>
          <w:p w14:paraId="32B5895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交流高压电器在长期工作时的发热</w:t>
            </w:r>
          </w:p>
        </w:tc>
      </w:tr>
      <w:tr w14:paraId="54FCF73D">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867270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GB10237</w:t>
            </w:r>
          </w:p>
        </w:tc>
        <w:tc>
          <w:tcPr>
            <w:tcW w:w="3827" w:type="pct"/>
            <w:tcBorders>
              <w:top w:val="single" w:color="auto" w:sz="4" w:space="0"/>
              <w:left w:val="single" w:color="auto" w:sz="4" w:space="0"/>
              <w:bottom w:val="single" w:color="auto" w:sz="4" w:space="0"/>
              <w:right w:val="single" w:color="auto" w:sz="4" w:space="0"/>
            </w:tcBorders>
            <w:noWrap/>
            <w:vAlign w:val="center"/>
          </w:tcPr>
          <w:p w14:paraId="05F0A5A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绝缘水平和绝缘试验、外绝缘空气间隙</w:t>
            </w:r>
          </w:p>
        </w:tc>
      </w:tr>
      <w:tr w14:paraId="6CE8972E">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BF24971">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DL/T403</w:t>
            </w:r>
          </w:p>
        </w:tc>
        <w:tc>
          <w:tcPr>
            <w:tcW w:w="3827" w:type="pct"/>
            <w:tcBorders>
              <w:top w:val="single" w:color="auto" w:sz="4" w:space="0"/>
              <w:left w:val="single" w:color="auto" w:sz="4" w:space="0"/>
              <w:bottom w:val="single" w:color="auto" w:sz="4" w:space="0"/>
              <w:right w:val="single" w:color="auto" w:sz="4" w:space="0"/>
            </w:tcBorders>
            <w:noWrap/>
            <w:vAlign w:val="center"/>
          </w:tcPr>
          <w:p w14:paraId="02FBEBB5">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12~40.5kV户内高压真空断路器订货技术条件</w:t>
            </w:r>
          </w:p>
        </w:tc>
      </w:tr>
      <w:tr w14:paraId="5612CAE2">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AC56C4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DL/T404</w:t>
            </w:r>
          </w:p>
        </w:tc>
        <w:tc>
          <w:tcPr>
            <w:tcW w:w="3827" w:type="pct"/>
            <w:tcBorders>
              <w:top w:val="single" w:color="auto" w:sz="4" w:space="0"/>
              <w:left w:val="single" w:color="auto" w:sz="4" w:space="0"/>
              <w:bottom w:val="single" w:color="auto" w:sz="4" w:space="0"/>
              <w:right w:val="single" w:color="auto" w:sz="4" w:space="0"/>
            </w:tcBorders>
            <w:noWrap/>
            <w:vAlign w:val="center"/>
          </w:tcPr>
          <w:p w14:paraId="63FF60A9">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户内交流高压开关柜订货技术条件</w:t>
            </w:r>
          </w:p>
        </w:tc>
      </w:tr>
      <w:tr w14:paraId="70511EA1">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08D183F">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DL/T486</w:t>
            </w:r>
          </w:p>
        </w:tc>
        <w:tc>
          <w:tcPr>
            <w:tcW w:w="3827" w:type="pct"/>
            <w:tcBorders>
              <w:top w:val="single" w:color="auto" w:sz="4" w:space="0"/>
              <w:left w:val="single" w:color="auto" w:sz="4" w:space="0"/>
              <w:bottom w:val="single" w:color="auto" w:sz="4" w:space="0"/>
              <w:right w:val="single" w:color="auto" w:sz="4" w:space="0"/>
            </w:tcBorders>
            <w:noWrap/>
            <w:vAlign w:val="center"/>
          </w:tcPr>
          <w:p w14:paraId="173660AB">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交流高压隔离开关订货技术条件</w:t>
            </w:r>
          </w:p>
        </w:tc>
      </w:tr>
      <w:tr w14:paraId="69250D20">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5ED9727">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DL/T539</w:t>
            </w:r>
          </w:p>
        </w:tc>
        <w:tc>
          <w:tcPr>
            <w:tcW w:w="3827" w:type="pct"/>
            <w:tcBorders>
              <w:top w:val="single" w:color="auto" w:sz="4" w:space="0"/>
              <w:left w:val="single" w:color="auto" w:sz="4" w:space="0"/>
              <w:bottom w:val="single" w:color="auto" w:sz="4" w:space="0"/>
              <w:right w:val="single" w:color="auto" w:sz="4" w:space="0"/>
            </w:tcBorders>
            <w:noWrap/>
            <w:vAlign w:val="center"/>
          </w:tcPr>
          <w:p w14:paraId="53B2AF1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户内交流高压开关柜和元部件凝露及污秽试验技术条件</w:t>
            </w:r>
          </w:p>
        </w:tc>
      </w:tr>
      <w:tr w14:paraId="183144EB">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02BDDDE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DL/T593</w:t>
            </w:r>
          </w:p>
        </w:tc>
        <w:tc>
          <w:tcPr>
            <w:tcW w:w="3827" w:type="pct"/>
            <w:tcBorders>
              <w:top w:val="single" w:color="auto" w:sz="4" w:space="0"/>
              <w:left w:val="single" w:color="auto" w:sz="4" w:space="0"/>
              <w:bottom w:val="single" w:color="auto" w:sz="4" w:space="0"/>
              <w:right w:val="single" w:color="auto" w:sz="4" w:space="0"/>
            </w:tcBorders>
            <w:noWrap/>
            <w:vAlign w:val="center"/>
          </w:tcPr>
          <w:p w14:paraId="5872217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高压开关设备的共用订货技术条件</w:t>
            </w:r>
          </w:p>
        </w:tc>
      </w:tr>
      <w:tr w14:paraId="43AFD548">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6BE15FB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DL/T5222</w:t>
            </w:r>
          </w:p>
        </w:tc>
        <w:tc>
          <w:tcPr>
            <w:tcW w:w="3827" w:type="pct"/>
            <w:tcBorders>
              <w:top w:val="single" w:color="auto" w:sz="4" w:space="0"/>
              <w:left w:val="single" w:color="auto" w:sz="4" w:space="0"/>
              <w:bottom w:val="single" w:color="auto" w:sz="4" w:space="0"/>
              <w:right w:val="single" w:color="auto" w:sz="4" w:space="0"/>
            </w:tcBorders>
            <w:noWrap/>
            <w:vAlign w:val="center"/>
          </w:tcPr>
          <w:p w14:paraId="0FEFF00B">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导体和电器选择设计技术规定</w:t>
            </w:r>
          </w:p>
        </w:tc>
      </w:tr>
      <w:tr w14:paraId="608EDF18">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6BA0746A">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DL/T728</w:t>
            </w:r>
          </w:p>
        </w:tc>
        <w:tc>
          <w:tcPr>
            <w:tcW w:w="3827" w:type="pct"/>
            <w:tcBorders>
              <w:top w:val="single" w:color="auto" w:sz="4" w:space="0"/>
              <w:left w:val="single" w:color="auto" w:sz="4" w:space="0"/>
              <w:bottom w:val="single" w:color="auto" w:sz="4" w:space="0"/>
              <w:right w:val="single" w:color="auto" w:sz="4" w:space="0"/>
            </w:tcBorders>
            <w:noWrap/>
            <w:vAlign w:val="center"/>
          </w:tcPr>
          <w:p w14:paraId="30605F2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气体绝缘金属封闭开关设备订货技术导则</w:t>
            </w:r>
          </w:p>
        </w:tc>
      </w:tr>
      <w:tr w14:paraId="219D8A3C">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55F68A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DL/T618</w:t>
            </w:r>
          </w:p>
        </w:tc>
        <w:tc>
          <w:tcPr>
            <w:tcW w:w="3827" w:type="pct"/>
            <w:tcBorders>
              <w:top w:val="single" w:color="auto" w:sz="4" w:space="0"/>
              <w:left w:val="single" w:color="auto" w:sz="4" w:space="0"/>
              <w:bottom w:val="single" w:color="auto" w:sz="4" w:space="0"/>
              <w:right w:val="single" w:color="auto" w:sz="4" w:space="0"/>
            </w:tcBorders>
            <w:noWrap/>
            <w:vAlign w:val="center"/>
          </w:tcPr>
          <w:p w14:paraId="1104CC3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气体绝缘金属封闭开关设备现场交接试验规程</w:t>
            </w:r>
          </w:p>
        </w:tc>
      </w:tr>
      <w:tr w14:paraId="2A682529">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5E4B54C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DL/T538</w:t>
            </w:r>
          </w:p>
        </w:tc>
        <w:tc>
          <w:tcPr>
            <w:tcW w:w="3827" w:type="pct"/>
            <w:tcBorders>
              <w:top w:val="single" w:color="auto" w:sz="4" w:space="0"/>
              <w:left w:val="single" w:color="auto" w:sz="4" w:space="0"/>
              <w:bottom w:val="single" w:color="auto" w:sz="4" w:space="0"/>
              <w:right w:val="single" w:color="auto" w:sz="4" w:space="0"/>
            </w:tcBorders>
            <w:noWrap/>
            <w:vAlign w:val="center"/>
          </w:tcPr>
          <w:p w14:paraId="67FD92D3">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高压带电显示装置技术条件</w:t>
            </w:r>
          </w:p>
        </w:tc>
      </w:tr>
      <w:tr w14:paraId="193B6B86">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C4432F6">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DL/T5136</w:t>
            </w:r>
          </w:p>
        </w:tc>
        <w:tc>
          <w:tcPr>
            <w:tcW w:w="3827" w:type="pct"/>
            <w:tcBorders>
              <w:top w:val="single" w:color="auto" w:sz="4" w:space="0"/>
              <w:left w:val="single" w:color="auto" w:sz="4" w:space="0"/>
              <w:bottom w:val="single" w:color="auto" w:sz="4" w:space="0"/>
              <w:right w:val="single" w:color="auto" w:sz="4" w:space="0"/>
            </w:tcBorders>
            <w:noWrap/>
            <w:vAlign w:val="center"/>
          </w:tcPr>
          <w:p w14:paraId="3DF42AD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火力发电厂、变电所二次接线设计技术规定</w:t>
            </w:r>
          </w:p>
        </w:tc>
      </w:tr>
      <w:tr w14:paraId="253FC73B">
        <w:tblPrEx>
          <w:tblCellMar>
            <w:top w:w="0" w:type="dxa"/>
            <w:left w:w="108" w:type="dxa"/>
            <w:bottom w:w="0" w:type="dxa"/>
            <w:right w:w="108" w:type="dxa"/>
          </w:tblCellMar>
        </w:tblPrEx>
        <w:trPr>
          <w:trHeight w:val="34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DDB416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SD/T318</w:t>
            </w:r>
          </w:p>
        </w:tc>
        <w:tc>
          <w:tcPr>
            <w:tcW w:w="3827" w:type="pct"/>
            <w:tcBorders>
              <w:top w:val="single" w:color="auto" w:sz="4" w:space="0"/>
              <w:left w:val="single" w:color="auto" w:sz="4" w:space="0"/>
              <w:bottom w:val="single" w:color="auto" w:sz="4" w:space="0"/>
              <w:right w:val="single" w:color="auto" w:sz="4" w:space="0"/>
            </w:tcBorders>
            <w:noWrap/>
            <w:vAlign w:val="center"/>
          </w:tcPr>
          <w:p w14:paraId="6F6790C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高压开关柜闭锁装置技术条件</w:t>
            </w:r>
          </w:p>
        </w:tc>
      </w:tr>
      <w:tr w14:paraId="255FBA26">
        <w:tblPrEx>
          <w:tblCellMar>
            <w:top w:w="0" w:type="dxa"/>
            <w:left w:w="108" w:type="dxa"/>
            <w:bottom w:w="0" w:type="dxa"/>
            <w:right w:w="108" w:type="dxa"/>
          </w:tblCellMar>
        </w:tblPrEx>
        <w:trPr>
          <w:trHeight w:val="344"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52FAF39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IEC60076-9</w:t>
            </w:r>
          </w:p>
        </w:tc>
        <w:tc>
          <w:tcPr>
            <w:tcW w:w="3827" w:type="pct"/>
            <w:tcBorders>
              <w:top w:val="single" w:color="auto" w:sz="4" w:space="0"/>
              <w:left w:val="single" w:color="auto" w:sz="4" w:space="0"/>
              <w:bottom w:val="single" w:color="auto" w:sz="4" w:space="0"/>
              <w:right w:val="single" w:color="auto" w:sz="4" w:space="0"/>
            </w:tcBorders>
            <w:noWrap/>
            <w:vAlign w:val="center"/>
          </w:tcPr>
          <w:p w14:paraId="2119C132">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端子和分接标志</w:t>
            </w:r>
          </w:p>
        </w:tc>
      </w:tr>
      <w:tr w14:paraId="3333C95E">
        <w:tblPrEx>
          <w:tblCellMar>
            <w:top w:w="0" w:type="dxa"/>
            <w:left w:w="108" w:type="dxa"/>
            <w:bottom w:w="0" w:type="dxa"/>
            <w:right w:w="108" w:type="dxa"/>
          </w:tblCellMar>
        </w:tblPrEx>
        <w:trPr>
          <w:trHeight w:val="344"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B24741E">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GB10229</w:t>
            </w:r>
            <w:r>
              <w:rPr>
                <w:rFonts w:hint="eastAsia" w:ascii="宋体" w:hAnsi="宋体" w:eastAsia="宋体" w:cs="宋体"/>
                <w:color w:val="auto"/>
                <w:kern w:val="0"/>
                <w:sz w:val="21"/>
                <w:szCs w:val="21"/>
                <w:lang w:val="en-US" w:eastAsia="zh-CN"/>
              </w:rPr>
              <w:t xml:space="preserve">   </w:t>
            </w:r>
          </w:p>
        </w:tc>
        <w:tc>
          <w:tcPr>
            <w:tcW w:w="3827" w:type="pct"/>
            <w:tcBorders>
              <w:top w:val="single" w:color="auto" w:sz="4" w:space="0"/>
              <w:left w:val="single" w:color="auto" w:sz="4" w:space="0"/>
              <w:bottom w:val="single" w:color="auto" w:sz="4" w:space="0"/>
              <w:right w:val="single" w:color="auto" w:sz="4" w:space="0"/>
            </w:tcBorders>
            <w:noWrap/>
            <w:vAlign w:val="center"/>
          </w:tcPr>
          <w:p w14:paraId="4A43DB0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电抗器</w:t>
            </w:r>
            <w:r>
              <w:rPr>
                <w:rFonts w:hint="eastAsia" w:ascii="宋体" w:hAnsi="宋体" w:eastAsia="宋体" w:cs="宋体"/>
                <w:color w:val="auto"/>
                <w:kern w:val="0"/>
                <w:sz w:val="21"/>
                <w:szCs w:val="21"/>
                <w:lang w:eastAsia="zh-CN"/>
              </w:rPr>
              <w:t>》</w:t>
            </w:r>
          </w:p>
        </w:tc>
      </w:tr>
      <w:tr w14:paraId="088C1B66">
        <w:tblPrEx>
          <w:tblCellMar>
            <w:top w:w="0" w:type="dxa"/>
            <w:left w:w="108" w:type="dxa"/>
            <w:bottom w:w="0" w:type="dxa"/>
            <w:right w:w="108" w:type="dxa"/>
          </w:tblCellMar>
        </w:tblPrEx>
        <w:trPr>
          <w:trHeight w:val="344"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25650E75">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DL462</w:t>
            </w:r>
            <w:r>
              <w:rPr>
                <w:rFonts w:hint="eastAsia" w:ascii="宋体" w:hAnsi="宋体" w:eastAsia="宋体" w:cs="宋体"/>
                <w:color w:val="auto"/>
                <w:kern w:val="0"/>
                <w:sz w:val="21"/>
                <w:szCs w:val="21"/>
                <w:lang w:val="en-US" w:eastAsia="zh-CN"/>
              </w:rPr>
              <w:t xml:space="preserve">  </w:t>
            </w:r>
          </w:p>
        </w:tc>
        <w:tc>
          <w:tcPr>
            <w:tcW w:w="3827" w:type="pct"/>
            <w:tcBorders>
              <w:top w:val="single" w:color="auto" w:sz="4" w:space="0"/>
              <w:left w:val="single" w:color="auto" w:sz="4" w:space="0"/>
              <w:bottom w:val="single" w:color="auto" w:sz="4" w:space="0"/>
              <w:right w:val="single" w:color="auto" w:sz="4" w:space="0"/>
            </w:tcBorders>
            <w:noWrap/>
            <w:vAlign w:val="center"/>
          </w:tcPr>
          <w:p w14:paraId="75FA570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《高压并联电容器用串连电抗器订货技术条件》</w:t>
            </w:r>
          </w:p>
        </w:tc>
      </w:tr>
      <w:tr w14:paraId="01F00373">
        <w:tblPrEx>
          <w:tblCellMar>
            <w:top w:w="0" w:type="dxa"/>
            <w:left w:w="108" w:type="dxa"/>
            <w:bottom w:w="0" w:type="dxa"/>
            <w:right w:w="108" w:type="dxa"/>
          </w:tblCellMar>
        </w:tblPrEx>
        <w:trPr>
          <w:trHeight w:val="28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1BA7483D">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国家电网公司</w:t>
            </w:r>
          </w:p>
        </w:tc>
        <w:tc>
          <w:tcPr>
            <w:tcW w:w="3827" w:type="pct"/>
            <w:tcBorders>
              <w:top w:val="single" w:color="auto" w:sz="4" w:space="0"/>
              <w:left w:val="single" w:color="auto" w:sz="4" w:space="0"/>
              <w:bottom w:val="single" w:color="auto" w:sz="4" w:space="0"/>
              <w:right w:val="single" w:color="auto" w:sz="4" w:space="0"/>
            </w:tcBorders>
            <w:noWrap/>
            <w:vAlign w:val="center"/>
          </w:tcPr>
          <w:p w14:paraId="4631286D">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防止电力生产重大事故的二十五项重点要求</w:t>
            </w:r>
          </w:p>
        </w:tc>
      </w:tr>
      <w:tr w14:paraId="46BB5147">
        <w:tblPrEx>
          <w:tblCellMar>
            <w:top w:w="0" w:type="dxa"/>
            <w:left w:w="108" w:type="dxa"/>
            <w:bottom w:w="0" w:type="dxa"/>
            <w:right w:w="108" w:type="dxa"/>
          </w:tblCellMar>
        </w:tblPrEx>
        <w:trPr>
          <w:trHeight w:val="28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4D074047">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国家电网公司</w:t>
            </w:r>
          </w:p>
        </w:tc>
        <w:tc>
          <w:tcPr>
            <w:tcW w:w="3827" w:type="pct"/>
            <w:tcBorders>
              <w:top w:val="single" w:color="auto" w:sz="4" w:space="0"/>
              <w:left w:val="single" w:color="auto" w:sz="4" w:space="0"/>
              <w:bottom w:val="single" w:color="auto" w:sz="4" w:space="0"/>
              <w:right w:val="single" w:color="auto" w:sz="4" w:space="0"/>
            </w:tcBorders>
            <w:noWrap/>
            <w:vAlign w:val="center"/>
          </w:tcPr>
          <w:p w14:paraId="729A7F54">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交流高压断路器技术标准、交流隔离开关和接地开关技术标准</w:t>
            </w:r>
          </w:p>
        </w:tc>
      </w:tr>
      <w:tr w14:paraId="47EF8EC2">
        <w:tblPrEx>
          <w:tblCellMar>
            <w:top w:w="0" w:type="dxa"/>
            <w:left w:w="108" w:type="dxa"/>
            <w:bottom w:w="0" w:type="dxa"/>
            <w:right w:w="108" w:type="dxa"/>
          </w:tblCellMar>
        </w:tblPrEx>
        <w:trPr>
          <w:trHeight w:val="28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64E4C668">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国家电网公司</w:t>
            </w:r>
          </w:p>
        </w:tc>
        <w:tc>
          <w:tcPr>
            <w:tcW w:w="3827" w:type="pct"/>
            <w:tcBorders>
              <w:top w:val="single" w:color="auto" w:sz="4" w:space="0"/>
              <w:left w:val="single" w:color="auto" w:sz="4" w:space="0"/>
              <w:bottom w:val="single" w:color="auto" w:sz="4" w:space="0"/>
              <w:right w:val="single" w:color="auto" w:sz="4" w:space="0"/>
            </w:tcBorders>
            <w:noWrap/>
            <w:vAlign w:val="center"/>
          </w:tcPr>
          <w:p w14:paraId="2460DA2C">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预防交流高压开关事故措施</w:t>
            </w:r>
          </w:p>
        </w:tc>
      </w:tr>
      <w:tr w14:paraId="604F8AB3">
        <w:tblPrEx>
          <w:tblCellMar>
            <w:top w:w="0" w:type="dxa"/>
            <w:left w:w="108" w:type="dxa"/>
            <w:bottom w:w="0" w:type="dxa"/>
            <w:right w:w="108" w:type="dxa"/>
          </w:tblCellMar>
        </w:tblPrEx>
        <w:trPr>
          <w:trHeight w:val="285" w:hRule="atLeast"/>
          <w:jc w:val="center"/>
        </w:trPr>
        <w:tc>
          <w:tcPr>
            <w:tcW w:w="1172" w:type="pct"/>
            <w:tcBorders>
              <w:top w:val="single" w:color="auto" w:sz="4" w:space="0"/>
              <w:left w:val="single" w:color="auto" w:sz="4" w:space="0"/>
              <w:bottom w:val="single" w:color="auto" w:sz="4" w:space="0"/>
              <w:right w:val="single" w:color="auto" w:sz="4" w:space="0"/>
            </w:tcBorders>
            <w:noWrap/>
            <w:vAlign w:val="center"/>
          </w:tcPr>
          <w:p w14:paraId="3ABBA9B0">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国家电网公司</w:t>
            </w:r>
          </w:p>
        </w:tc>
        <w:tc>
          <w:tcPr>
            <w:tcW w:w="3827" w:type="pct"/>
            <w:tcBorders>
              <w:top w:val="single" w:color="auto" w:sz="4" w:space="0"/>
              <w:left w:val="single" w:color="auto" w:sz="4" w:space="0"/>
              <w:bottom w:val="single" w:color="auto" w:sz="4" w:space="0"/>
              <w:right w:val="single" w:color="auto" w:sz="4" w:space="0"/>
            </w:tcBorders>
            <w:noWrap/>
            <w:vAlign w:val="center"/>
          </w:tcPr>
          <w:p w14:paraId="15DED71A">
            <w:pPr>
              <w:keepNext w:val="0"/>
              <w:keepLines w:val="0"/>
              <w:pageBreakBefore w:val="0"/>
              <w:widowControl/>
              <w:kinsoku/>
              <w:wordWrap/>
              <w:overflowPunct/>
              <w:autoSpaceDE/>
              <w:autoSpaceDN/>
              <w:bidi w:val="0"/>
              <w:adjustRightInd/>
              <w:snapToGrid/>
              <w:spacing w:line="240" w:lineRule="atLeast"/>
              <w:jc w:val="left"/>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十八项电网重大反事故措施</w:t>
            </w:r>
          </w:p>
        </w:tc>
      </w:tr>
    </w:tbl>
    <w:p w14:paraId="759D9490">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当乙方</w:t>
      </w:r>
      <w:r>
        <w:rPr>
          <w:rFonts w:hint="eastAsia" w:asciiTheme="minorEastAsia" w:hAnsiTheme="minorEastAsia" w:eastAsiaTheme="minorEastAsia" w:cstheme="minorEastAsia"/>
          <w:sz w:val="24"/>
          <w:szCs w:val="24"/>
          <w:highlight w:val="none"/>
          <w:shd w:val="clear" w:color="auto" w:fill="FFFFFF"/>
          <w:lang w:eastAsia="zh-CN"/>
        </w:rPr>
        <w:t>采用其他</w:t>
      </w:r>
      <w:r>
        <w:rPr>
          <w:rFonts w:hint="eastAsia" w:asciiTheme="minorEastAsia" w:hAnsiTheme="minorEastAsia" w:eastAsiaTheme="minorEastAsia" w:cstheme="minorEastAsia"/>
          <w:sz w:val="24"/>
          <w:szCs w:val="24"/>
          <w:shd w:val="clear" w:color="auto" w:fill="FFFFFF"/>
        </w:rPr>
        <w:t>标准时，其标准应符合中华人民共和国国家标准（GB），若有标准不一致时，取高值。</w:t>
      </w:r>
    </w:p>
    <w:p w14:paraId="592333D9">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37" w:name="_Toc21911"/>
      <w:bookmarkStart w:id="38" w:name="_Toc8594"/>
      <w:bookmarkStart w:id="39" w:name="_Toc31599"/>
      <w:r>
        <w:rPr>
          <w:rFonts w:hint="eastAsia" w:asciiTheme="minorEastAsia" w:hAnsiTheme="minorEastAsia" w:eastAsiaTheme="minorEastAsia" w:cstheme="minorEastAsia"/>
          <w:b/>
          <w:bCs w:val="0"/>
          <w:sz w:val="24"/>
          <w:szCs w:val="24"/>
          <w:lang w:val="en-US" w:eastAsia="zh-CN"/>
        </w:rPr>
        <w:t>4、永磁断路器供货范围</w:t>
      </w:r>
      <w:bookmarkEnd w:id="37"/>
      <w:bookmarkEnd w:id="38"/>
      <w:bookmarkEnd w:id="39"/>
    </w:p>
    <w:tbl>
      <w:tblPr>
        <w:tblStyle w:val="10"/>
        <w:tblW w:w="8965" w:type="dxa"/>
        <w:jc w:val="center"/>
        <w:tblLayout w:type="fixed"/>
        <w:tblCellMar>
          <w:top w:w="0" w:type="dxa"/>
          <w:left w:w="108" w:type="dxa"/>
          <w:bottom w:w="0" w:type="dxa"/>
          <w:right w:w="108" w:type="dxa"/>
        </w:tblCellMar>
      </w:tblPr>
      <w:tblGrid>
        <w:gridCol w:w="1287"/>
        <w:gridCol w:w="2843"/>
        <w:gridCol w:w="676"/>
        <w:gridCol w:w="674"/>
        <w:gridCol w:w="3485"/>
      </w:tblGrid>
      <w:tr w14:paraId="0D9871D0">
        <w:tblPrEx>
          <w:tblCellMar>
            <w:top w:w="0" w:type="dxa"/>
            <w:left w:w="108" w:type="dxa"/>
            <w:bottom w:w="0" w:type="dxa"/>
            <w:right w:w="108" w:type="dxa"/>
          </w:tblCellMar>
        </w:tblPrEx>
        <w:trPr>
          <w:trHeight w:val="317" w:hRule="atLeast"/>
          <w:jc w:val="center"/>
        </w:trPr>
        <w:tc>
          <w:tcPr>
            <w:tcW w:w="1287" w:type="dxa"/>
            <w:tcBorders>
              <w:top w:val="single" w:color="auto" w:sz="4" w:space="0"/>
              <w:left w:val="single" w:color="auto" w:sz="4" w:space="0"/>
              <w:bottom w:val="single" w:color="auto" w:sz="4" w:space="0"/>
              <w:right w:val="single" w:color="auto" w:sz="4" w:space="0"/>
            </w:tcBorders>
            <w:noWrap w:val="0"/>
            <w:vAlign w:val="center"/>
          </w:tcPr>
          <w:p w14:paraId="7D6470BC">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kern w:val="2"/>
                <w:sz w:val="21"/>
                <w:szCs w:val="21"/>
                <w:lang w:val="en-US" w:eastAsia="zh-CN" w:bidi="ar-SA"/>
              </w:rPr>
              <w:t>名称</w:t>
            </w:r>
          </w:p>
        </w:tc>
        <w:tc>
          <w:tcPr>
            <w:tcW w:w="2843" w:type="dxa"/>
            <w:tcBorders>
              <w:top w:val="single" w:color="auto" w:sz="4" w:space="0"/>
              <w:left w:val="single" w:color="auto" w:sz="4" w:space="0"/>
              <w:bottom w:val="single" w:color="auto" w:sz="4" w:space="0"/>
              <w:right w:val="single" w:color="auto" w:sz="4" w:space="0"/>
            </w:tcBorders>
            <w:noWrap w:val="0"/>
            <w:vAlign w:val="center"/>
          </w:tcPr>
          <w:p w14:paraId="0C3B1F66">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kern w:val="2"/>
                <w:sz w:val="21"/>
                <w:szCs w:val="21"/>
                <w:lang w:val="en-US" w:eastAsia="zh-CN" w:bidi="ar-SA"/>
              </w:rPr>
              <w:t>型号</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7122C4CA">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kern w:val="2"/>
                <w:sz w:val="21"/>
                <w:szCs w:val="21"/>
                <w:lang w:val="en-US" w:eastAsia="zh-CN" w:bidi="ar-SA"/>
              </w:rPr>
              <w:t>单位</w:t>
            </w:r>
          </w:p>
        </w:tc>
        <w:tc>
          <w:tcPr>
            <w:tcW w:w="674" w:type="dxa"/>
            <w:tcBorders>
              <w:top w:val="single" w:color="auto" w:sz="4" w:space="0"/>
              <w:left w:val="single" w:color="auto" w:sz="4" w:space="0"/>
              <w:bottom w:val="single" w:color="auto" w:sz="4" w:space="0"/>
              <w:right w:val="single" w:color="auto" w:sz="4" w:space="0"/>
            </w:tcBorders>
            <w:noWrap w:val="0"/>
            <w:vAlign w:val="center"/>
          </w:tcPr>
          <w:p w14:paraId="48FDC30F">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kern w:val="2"/>
                <w:sz w:val="21"/>
                <w:szCs w:val="21"/>
                <w:lang w:val="en-US" w:eastAsia="zh-CN" w:bidi="ar-SA"/>
              </w:rPr>
              <w:t>数量</w:t>
            </w:r>
          </w:p>
        </w:tc>
        <w:tc>
          <w:tcPr>
            <w:tcW w:w="3485" w:type="dxa"/>
            <w:tcBorders>
              <w:top w:val="single" w:color="auto" w:sz="4" w:space="0"/>
              <w:left w:val="single" w:color="auto" w:sz="4" w:space="0"/>
              <w:bottom w:val="single" w:color="auto" w:sz="4" w:space="0"/>
              <w:right w:val="single" w:color="auto" w:sz="4" w:space="0"/>
            </w:tcBorders>
            <w:noWrap w:val="0"/>
            <w:vAlign w:val="center"/>
          </w:tcPr>
          <w:p w14:paraId="5D816966">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kern w:val="2"/>
                <w:sz w:val="21"/>
                <w:szCs w:val="21"/>
                <w:lang w:val="en-US" w:eastAsia="zh-CN" w:bidi="ar-SA"/>
              </w:rPr>
              <w:t>备注</w:t>
            </w:r>
          </w:p>
        </w:tc>
      </w:tr>
      <w:tr w14:paraId="606DD625">
        <w:tblPrEx>
          <w:tblCellMar>
            <w:top w:w="0" w:type="dxa"/>
            <w:left w:w="108" w:type="dxa"/>
            <w:bottom w:w="0" w:type="dxa"/>
            <w:right w:w="108" w:type="dxa"/>
          </w:tblCellMar>
        </w:tblPrEx>
        <w:trPr>
          <w:trHeight w:val="786" w:hRule="atLeast"/>
          <w:jc w:val="center"/>
        </w:trPr>
        <w:tc>
          <w:tcPr>
            <w:tcW w:w="1287" w:type="dxa"/>
            <w:tcBorders>
              <w:top w:val="single" w:color="auto" w:sz="4" w:space="0"/>
              <w:left w:val="single" w:color="auto" w:sz="4" w:space="0"/>
              <w:bottom w:val="single" w:color="auto" w:sz="4" w:space="0"/>
              <w:right w:val="single" w:color="auto" w:sz="4" w:space="0"/>
            </w:tcBorders>
            <w:noWrap w:val="0"/>
            <w:vAlign w:val="center"/>
          </w:tcPr>
          <w:p w14:paraId="75CC572F">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sz w:val="21"/>
                <w:szCs w:val="21"/>
              </w:rPr>
              <w:t>永磁断路器</w:t>
            </w:r>
          </w:p>
        </w:tc>
        <w:tc>
          <w:tcPr>
            <w:tcW w:w="2843" w:type="dxa"/>
            <w:tcBorders>
              <w:top w:val="single" w:color="auto" w:sz="4" w:space="0"/>
              <w:left w:val="single" w:color="auto" w:sz="4" w:space="0"/>
              <w:bottom w:val="single" w:color="auto" w:sz="4" w:space="0"/>
              <w:right w:val="single" w:color="auto" w:sz="4" w:space="0"/>
            </w:tcBorders>
            <w:noWrap w:val="0"/>
            <w:vAlign w:val="center"/>
          </w:tcPr>
          <w:p w14:paraId="6DA0ED59">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sz w:val="21"/>
                <w:szCs w:val="21"/>
              </w:rPr>
              <w:t>12kV 1250A 31.5kA M AVG-12M/1250-31.5D22E21W</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0037284E">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sz w:val="21"/>
                <w:szCs w:val="21"/>
                <w:lang w:val="en-US" w:eastAsia="zh-CN"/>
              </w:rPr>
              <w:t>台</w:t>
            </w:r>
          </w:p>
        </w:tc>
        <w:tc>
          <w:tcPr>
            <w:tcW w:w="674" w:type="dxa"/>
            <w:tcBorders>
              <w:top w:val="single" w:color="auto" w:sz="4" w:space="0"/>
              <w:left w:val="single" w:color="auto" w:sz="4" w:space="0"/>
              <w:bottom w:val="single" w:color="auto" w:sz="4" w:space="0"/>
              <w:right w:val="single" w:color="auto" w:sz="4" w:space="0"/>
            </w:tcBorders>
            <w:noWrap w:val="0"/>
            <w:vAlign w:val="center"/>
          </w:tcPr>
          <w:p w14:paraId="42520602">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sz w:val="21"/>
                <w:szCs w:val="21"/>
                <w:highlight w:val="none"/>
                <w:lang w:val="en-US" w:eastAsia="zh-CN"/>
              </w:rPr>
              <w:t>1</w:t>
            </w:r>
          </w:p>
        </w:tc>
        <w:tc>
          <w:tcPr>
            <w:tcW w:w="3485" w:type="dxa"/>
            <w:tcBorders>
              <w:top w:val="single" w:color="auto" w:sz="4" w:space="0"/>
              <w:left w:val="single" w:color="auto" w:sz="4" w:space="0"/>
              <w:bottom w:val="single" w:color="auto" w:sz="4" w:space="0"/>
              <w:right w:val="single" w:color="auto" w:sz="4" w:space="0"/>
            </w:tcBorders>
            <w:noWrap w:val="0"/>
            <w:vAlign w:val="center"/>
          </w:tcPr>
          <w:p w14:paraId="536C88B2">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eastAsia" w:asciiTheme="majorEastAsia" w:hAnsiTheme="majorEastAsia" w:eastAsiaTheme="majorEastAsia" w:cstheme="majorEastAsia"/>
                <w:color w:val="000000"/>
                <w:kern w:val="2"/>
                <w:sz w:val="21"/>
                <w:szCs w:val="21"/>
                <w:lang w:val="en-US" w:eastAsia="zh-CN" w:bidi="ar-SA"/>
              </w:rPr>
            </w:pPr>
            <w:r>
              <w:rPr>
                <w:rFonts w:hint="eastAsia" w:asciiTheme="majorEastAsia" w:hAnsiTheme="majorEastAsia" w:eastAsiaTheme="majorEastAsia" w:cstheme="majorEastAsia"/>
                <w:color w:val="000000"/>
                <w:sz w:val="21"/>
                <w:szCs w:val="21"/>
                <w:lang w:val="en-US" w:eastAsia="zh-CN"/>
              </w:rPr>
              <w:t>带电动底盘车、手车地刀控制器（面板安装），品牌与原站保持一致（原站：阿斯通）</w:t>
            </w:r>
          </w:p>
        </w:tc>
      </w:tr>
      <w:tr w14:paraId="28B02F01">
        <w:tblPrEx>
          <w:tblCellMar>
            <w:top w:w="0" w:type="dxa"/>
            <w:left w:w="108" w:type="dxa"/>
            <w:bottom w:w="0" w:type="dxa"/>
            <w:right w:w="108" w:type="dxa"/>
          </w:tblCellMar>
        </w:tblPrEx>
        <w:trPr>
          <w:trHeight w:val="776" w:hRule="atLeast"/>
          <w:jc w:val="center"/>
        </w:trPr>
        <w:tc>
          <w:tcPr>
            <w:tcW w:w="1287" w:type="dxa"/>
            <w:tcBorders>
              <w:top w:val="single" w:color="auto" w:sz="4" w:space="0"/>
              <w:left w:val="single" w:color="auto" w:sz="4" w:space="0"/>
              <w:bottom w:val="single" w:color="auto" w:sz="4" w:space="0"/>
              <w:right w:val="single" w:color="auto" w:sz="4" w:space="0"/>
            </w:tcBorders>
            <w:noWrap w:val="0"/>
            <w:vAlign w:val="center"/>
          </w:tcPr>
          <w:p w14:paraId="7BEC841F">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rPr>
              <w:t>永磁断路器</w:t>
            </w:r>
          </w:p>
        </w:tc>
        <w:tc>
          <w:tcPr>
            <w:tcW w:w="2843" w:type="dxa"/>
            <w:tcBorders>
              <w:top w:val="single" w:color="auto" w:sz="4" w:space="0"/>
              <w:left w:val="single" w:color="auto" w:sz="4" w:space="0"/>
              <w:bottom w:val="single" w:color="auto" w:sz="4" w:space="0"/>
              <w:right w:val="single" w:color="auto" w:sz="4" w:space="0"/>
            </w:tcBorders>
            <w:noWrap w:val="0"/>
            <w:vAlign w:val="center"/>
          </w:tcPr>
          <w:p w14:paraId="58E85F9F">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rPr>
              <w:t>12kV 1250A 31.5kA M YDDMB-F12/D1250-31.5-J</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47CD3EC1">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台</w:t>
            </w:r>
          </w:p>
        </w:tc>
        <w:tc>
          <w:tcPr>
            <w:tcW w:w="674" w:type="dxa"/>
            <w:tcBorders>
              <w:top w:val="single" w:color="auto" w:sz="4" w:space="0"/>
              <w:left w:val="single" w:color="auto" w:sz="4" w:space="0"/>
              <w:bottom w:val="single" w:color="auto" w:sz="4" w:space="0"/>
              <w:right w:val="single" w:color="auto" w:sz="4" w:space="0"/>
            </w:tcBorders>
            <w:noWrap w:val="0"/>
            <w:vAlign w:val="center"/>
          </w:tcPr>
          <w:p w14:paraId="5F0727EA">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2</w:t>
            </w:r>
          </w:p>
        </w:tc>
        <w:tc>
          <w:tcPr>
            <w:tcW w:w="3485" w:type="dxa"/>
            <w:tcBorders>
              <w:top w:val="single" w:color="auto" w:sz="4" w:space="0"/>
              <w:left w:val="single" w:color="auto" w:sz="4" w:space="0"/>
              <w:bottom w:val="single" w:color="auto" w:sz="4" w:space="0"/>
              <w:right w:val="single" w:color="auto" w:sz="4" w:space="0"/>
            </w:tcBorders>
            <w:noWrap w:val="0"/>
            <w:vAlign w:val="center"/>
          </w:tcPr>
          <w:p w14:paraId="3709BC5A">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电动底盘车、手车地刀控制器（面板安装），品牌与原站保持一致（原站：吉林永大）</w:t>
            </w:r>
          </w:p>
        </w:tc>
      </w:tr>
      <w:tr w14:paraId="7600C9BE">
        <w:tblPrEx>
          <w:tblCellMar>
            <w:top w:w="0" w:type="dxa"/>
            <w:left w:w="108" w:type="dxa"/>
            <w:bottom w:w="0" w:type="dxa"/>
            <w:right w:w="108" w:type="dxa"/>
          </w:tblCellMar>
        </w:tblPrEx>
        <w:trPr>
          <w:trHeight w:val="162" w:hRule="atLeast"/>
          <w:jc w:val="center"/>
        </w:trPr>
        <w:tc>
          <w:tcPr>
            <w:tcW w:w="1287" w:type="dxa"/>
            <w:tcBorders>
              <w:top w:val="single" w:color="auto" w:sz="4" w:space="0"/>
              <w:left w:val="single" w:color="auto" w:sz="4" w:space="0"/>
              <w:bottom w:val="single" w:color="auto" w:sz="4" w:space="0"/>
              <w:right w:val="single" w:color="auto" w:sz="4" w:space="0"/>
            </w:tcBorders>
            <w:noWrap w:val="0"/>
            <w:vAlign w:val="center"/>
          </w:tcPr>
          <w:p w14:paraId="29AC9F72">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rPr>
              <w:t>永磁断路器</w:t>
            </w:r>
          </w:p>
        </w:tc>
        <w:tc>
          <w:tcPr>
            <w:tcW w:w="2843" w:type="dxa"/>
            <w:tcBorders>
              <w:top w:val="single" w:color="auto" w:sz="4" w:space="0"/>
              <w:left w:val="single" w:color="auto" w:sz="4" w:space="0"/>
              <w:bottom w:val="single" w:color="auto" w:sz="4" w:space="0"/>
              <w:right w:val="single" w:color="auto" w:sz="4" w:space="0"/>
            </w:tcBorders>
            <w:noWrap w:val="0"/>
            <w:vAlign w:val="center"/>
          </w:tcPr>
          <w:p w14:paraId="46D6708B">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rPr>
              <w:t>12kV 1250A 31.5kA M AVG-12M/1250-31.5D22E21W</w:t>
            </w:r>
          </w:p>
        </w:tc>
        <w:tc>
          <w:tcPr>
            <w:tcW w:w="676" w:type="dxa"/>
            <w:tcBorders>
              <w:top w:val="single" w:color="auto" w:sz="4" w:space="0"/>
              <w:left w:val="single" w:color="auto" w:sz="4" w:space="0"/>
              <w:bottom w:val="single" w:color="auto" w:sz="4" w:space="0"/>
              <w:right w:val="single" w:color="auto" w:sz="4" w:space="0"/>
            </w:tcBorders>
            <w:noWrap w:val="0"/>
            <w:vAlign w:val="center"/>
          </w:tcPr>
          <w:p w14:paraId="7D63A459">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台</w:t>
            </w:r>
          </w:p>
        </w:tc>
        <w:tc>
          <w:tcPr>
            <w:tcW w:w="674" w:type="dxa"/>
            <w:tcBorders>
              <w:top w:val="single" w:color="auto" w:sz="4" w:space="0"/>
              <w:left w:val="single" w:color="auto" w:sz="4" w:space="0"/>
              <w:bottom w:val="single" w:color="auto" w:sz="4" w:space="0"/>
              <w:right w:val="single" w:color="auto" w:sz="4" w:space="0"/>
            </w:tcBorders>
            <w:noWrap w:val="0"/>
            <w:vAlign w:val="center"/>
          </w:tcPr>
          <w:p w14:paraId="66E7BE2E">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center"/>
              <w:textAlignment w:val="auto"/>
              <w:rPr>
                <w:rFonts w:hint="eastAsia"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1</w:t>
            </w:r>
          </w:p>
        </w:tc>
        <w:tc>
          <w:tcPr>
            <w:tcW w:w="3485" w:type="dxa"/>
            <w:tcBorders>
              <w:top w:val="single" w:color="auto" w:sz="4" w:space="0"/>
              <w:left w:val="single" w:color="auto" w:sz="4" w:space="0"/>
              <w:bottom w:val="single" w:color="auto" w:sz="4" w:space="0"/>
              <w:right w:val="single" w:color="auto" w:sz="4" w:space="0"/>
            </w:tcBorders>
            <w:noWrap w:val="0"/>
            <w:vAlign w:val="center"/>
          </w:tcPr>
          <w:p w14:paraId="236626E3">
            <w:pPr>
              <w:keepNext w:val="0"/>
              <w:keepLines w:val="0"/>
              <w:pageBreakBefore w:val="0"/>
              <w:widowControl w:val="0"/>
              <w:kinsoku/>
              <w:wordWrap/>
              <w:overflowPunct/>
              <w:topLinePunct w:val="0"/>
              <w:autoSpaceDE w:val="0"/>
              <w:autoSpaceDN w:val="0"/>
              <w:bidi w:val="0"/>
              <w:adjustRightInd/>
              <w:snapToGrid/>
              <w:spacing w:beforeLines="0" w:afterLines="0" w:line="240" w:lineRule="atLeast"/>
              <w:jc w:val="left"/>
              <w:textAlignment w:val="auto"/>
              <w:rPr>
                <w:rFonts w:hint="default" w:asciiTheme="majorEastAsia" w:hAnsiTheme="majorEastAsia" w:eastAsiaTheme="majorEastAsia" w:cstheme="majorEastAsia"/>
                <w:sz w:val="21"/>
                <w:szCs w:val="21"/>
                <w:lang w:val="en-US" w:eastAsia="zh-CN"/>
              </w:rPr>
            </w:pPr>
            <w:r>
              <w:rPr>
                <w:rFonts w:hint="eastAsia" w:asciiTheme="majorEastAsia" w:hAnsiTheme="majorEastAsia" w:eastAsiaTheme="majorEastAsia" w:cstheme="majorEastAsia"/>
                <w:sz w:val="21"/>
                <w:szCs w:val="21"/>
                <w:lang w:val="en-US" w:eastAsia="zh-CN"/>
              </w:rPr>
              <w:t>带电动底盘车、手车地刀控制器（面板安装），推荐厂家（厦门华电、阿斯通、施耐德宝光、吉林永大）</w:t>
            </w:r>
          </w:p>
        </w:tc>
      </w:tr>
    </w:tbl>
    <w:p w14:paraId="005FC6A7">
      <w:pPr>
        <w:keepNext w:val="0"/>
        <w:keepLines w:val="0"/>
        <w:pageBreakBefore w:val="0"/>
        <w:widowControl w:val="0"/>
        <w:kinsoku/>
        <w:wordWrap/>
        <w:overflowPunct/>
        <w:topLinePunct w:val="0"/>
        <w:autoSpaceDE w:val="0"/>
        <w:autoSpaceDN w:val="0"/>
        <w:bidi w:val="0"/>
        <w:adjustRightInd/>
        <w:snapToGrid w:val="0"/>
        <w:spacing w:before="0" w:line="360" w:lineRule="auto"/>
        <w:jc w:val="left"/>
        <w:textAlignment w:val="auto"/>
        <w:outlineLvl w:val="0"/>
        <w:rPr>
          <w:rFonts w:hint="eastAsia" w:asciiTheme="minorEastAsia" w:hAnsiTheme="minorEastAsia" w:eastAsiaTheme="minorEastAsia" w:cstheme="minorEastAsia"/>
          <w:b/>
          <w:bCs w:val="0"/>
          <w:sz w:val="24"/>
          <w:szCs w:val="24"/>
          <w:lang w:val="en-US" w:eastAsia="zh-CN"/>
        </w:rPr>
      </w:pPr>
      <w:bookmarkStart w:id="40" w:name="_Toc11544"/>
      <w:bookmarkStart w:id="41" w:name="_Toc5273"/>
      <w:bookmarkStart w:id="42" w:name="_Toc16815"/>
      <w:r>
        <w:rPr>
          <w:rFonts w:hint="eastAsia" w:asciiTheme="minorEastAsia" w:hAnsiTheme="minorEastAsia" w:eastAsiaTheme="minorEastAsia" w:cstheme="minorEastAsia"/>
          <w:b/>
          <w:bCs w:val="0"/>
          <w:sz w:val="24"/>
          <w:szCs w:val="24"/>
          <w:lang w:val="en-US" w:eastAsia="zh-CN"/>
        </w:rPr>
        <w:t>5、永磁断路器技术要求</w:t>
      </w:r>
      <w:bookmarkEnd w:id="40"/>
      <w:bookmarkEnd w:id="41"/>
      <w:bookmarkEnd w:id="42"/>
    </w:p>
    <w:p w14:paraId="430253E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bookmarkStart w:id="43" w:name="_Toc4524"/>
      <w:bookmarkStart w:id="44" w:name="_Toc27497"/>
      <w:r>
        <w:rPr>
          <w:rFonts w:hint="eastAsia" w:asciiTheme="minorEastAsia" w:hAnsiTheme="minorEastAsia" w:eastAsiaTheme="minorEastAsia" w:cstheme="minorEastAsia"/>
          <w:sz w:val="24"/>
          <w:szCs w:val="24"/>
          <w:shd w:val="clear" w:color="auto" w:fill="FFFFFF"/>
        </w:rPr>
        <w:t>额定电压：10KV</w:t>
      </w:r>
    </w:p>
    <w:p w14:paraId="0CEA8629">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最高工作电压：12KV</w:t>
      </w:r>
    </w:p>
    <w:p w14:paraId="4DEB79B6">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额定绝缘水平：1min </w:t>
      </w:r>
    </w:p>
    <w:p w14:paraId="1CA64000">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工频耐压：42KV </w:t>
      </w:r>
    </w:p>
    <w:p w14:paraId="5CED9638">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雷电冲击耐压：75KV</w:t>
      </w:r>
    </w:p>
    <w:p w14:paraId="6B34A774">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额定电流，1250A</w:t>
      </w:r>
    </w:p>
    <w:p w14:paraId="6F177932">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短路开断电流：31.5KA 短路关合电流：80KA </w:t>
      </w:r>
    </w:p>
    <w:p w14:paraId="35709762">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分闸时间：＜50ms</w:t>
      </w:r>
    </w:p>
    <w:p w14:paraId="53B6468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合闸时间：＜60ms 全开断时间：≤60ms</w:t>
      </w:r>
    </w:p>
    <w:p w14:paraId="6E4F5D92">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机械寿命：＞20000 次</w:t>
      </w:r>
    </w:p>
    <w:p w14:paraId="3ED83B4F">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额定操作顺序：分 0.3S—合分—180S—合分</w:t>
      </w:r>
    </w:p>
    <w:p w14:paraId="391328D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操作机构：</w:t>
      </w:r>
      <w:r>
        <w:rPr>
          <w:rFonts w:hint="eastAsia" w:asciiTheme="minorEastAsia" w:hAnsiTheme="minorEastAsia" w:eastAsiaTheme="minorEastAsia" w:cstheme="minorEastAsia"/>
          <w:sz w:val="24"/>
          <w:szCs w:val="24"/>
          <w:shd w:val="clear" w:color="auto" w:fill="FFFFFF"/>
          <w:lang w:val="en-US" w:eastAsia="zh-CN"/>
        </w:rPr>
        <w:t>永磁</w:t>
      </w:r>
      <w:r>
        <w:rPr>
          <w:rFonts w:hint="eastAsia" w:asciiTheme="minorEastAsia" w:hAnsiTheme="minorEastAsia" w:eastAsiaTheme="minorEastAsia" w:cstheme="minorEastAsia"/>
          <w:sz w:val="24"/>
          <w:szCs w:val="24"/>
          <w:shd w:val="clear" w:color="auto" w:fill="FFFFFF"/>
        </w:rPr>
        <w:t>操作机构</w:t>
      </w:r>
    </w:p>
    <w:p w14:paraId="031B70B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电容器充电时间：≤10S </w:t>
      </w:r>
    </w:p>
    <w:p w14:paraId="6BD2EF24">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机械寿命：＞20000 次 </w:t>
      </w:r>
    </w:p>
    <w:p w14:paraId="272532C0">
      <w:pPr>
        <w:keepNext w:val="0"/>
        <w:keepLines w:val="0"/>
        <w:pageBreakBefore w:val="0"/>
        <w:widowControl w:val="0"/>
        <w:kinsoku/>
        <w:wordWrap/>
        <w:overflowPunct/>
        <w:topLinePunct w:val="0"/>
        <w:autoSpaceDE w:val="0"/>
        <w:autoSpaceDN w:val="0"/>
        <w:bidi w:val="0"/>
        <w:adjustRightInd/>
        <w:snapToGrid/>
        <w:spacing w:line="360" w:lineRule="auto"/>
        <w:ind w:right="0"/>
        <w:jc w:val="left"/>
        <w:textAlignment w:val="auto"/>
        <w:outlineLvl w:val="1"/>
        <w:rPr>
          <w:rFonts w:hint="eastAsia" w:asciiTheme="minorEastAsia" w:hAnsiTheme="minorEastAsia" w:eastAsiaTheme="minorEastAsia" w:cstheme="minorEastAsia"/>
          <w:sz w:val="24"/>
          <w:szCs w:val="24"/>
          <w:shd w:val="clear" w:color="auto" w:fill="FFFFFF"/>
        </w:rPr>
      </w:pPr>
      <w:bookmarkStart w:id="45" w:name="_Toc28938"/>
      <w:r>
        <w:rPr>
          <w:rFonts w:hint="eastAsia" w:asciiTheme="minorEastAsia" w:hAnsiTheme="minorEastAsia" w:eastAsiaTheme="minorEastAsia" w:cstheme="minorEastAsia"/>
          <w:b/>
          <w:bCs/>
          <w:sz w:val="24"/>
          <w:szCs w:val="24"/>
          <w:shd w:val="clear" w:color="auto" w:fill="FFFFFF"/>
          <w:lang w:val="en-US" w:eastAsia="zh-CN"/>
        </w:rPr>
        <w:t xml:space="preserve">5.1 </w:t>
      </w:r>
      <w:r>
        <w:rPr>
          <w:rFonts w:hint="eastAsia" w:asciiTheme="minorEastAsia" w:hAnsiTheme="minorEastAsia" w:eastAsiaTheme="minorEastAsia" w:cstheme="minorEastAsia"/>
          <w:b/>
          <w:bCs/>
          <w:sz w:val="24"/>
          <w:szCs w:val="24"/>
          <w:shd w:val="clear" w:color="auto" w:fill="FFFFFF"/>
        </w:rPr>
        <w:t>断路器动触头技术要求</w:t>
      </w:r>
      <w:bookmarkEnd w:id="45"/>
      <w:r>
        <w:rPr>
          <w:rFonts w:hint="eastAsia" w:asciiTheme="minorEastAsia" w:hAnsiTheme="minorEastAsia" w:eastAsiaTheme="minorEastAsia" w:cstheme="minorEastAsia"/>
          <w:sz w:val="24"/>
          <w:szCs w:val="24"/>
          <w:shd w:val="clear" w:color="auto" w:fill="FFFFFF"/>
        </w:rPr>
        <w:t xml:space="preserve"> </w:t>
      </w:r>
    </w:p>
    <w:p w14:paraId="516AADE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额定电压：12kV</w:t>
      </w:r>
    </w:p>
    <w:p w14:paraId="43EA2E05">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额定频率：50HZ </w:t>
      </w:r>
    </w:p>
    <w:p w14:paraId="2ED2DA34">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额定电流：1250A </w:t>
      </w:r>
    </w:p>
    <w:p w14:paraId="4B68334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材质要求：</w:t>
      </w:r>
    </w:p>
    <w:p w14:paraId="32252149">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①梅花触头材料为 T2Y 铜，单片触指厚度 2.8±0.15mm（1250A 及以下），3.0±0.15mm（1250A 及以上）；</w:t>
      </w:r>
    </w:p>
    <w:p w14:paraId="3B23DAB7">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②弹簧材料：弹簧用不锈钢丝，无磁；</w:t>
      </w:r>
    </w:p>
    <w:p w14:paraId="03BBCDD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③栅板材料：不锈钢板，无磁，厚度为 2±0.12mm；</w:t>
      </w:r>
    </w:p>
    <w:p w14:paraId="3562492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④铆钉材料：不锈圆钢，无磁。梅花触头表面要求：</w:t>
      </w:r>
    </w:p>
    <w:p w14:paraId="4CE302B7">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①触头接触表面其粗糙度不高于 Ra：3.2；</w:t>
      </w:r>
    </w:p>
    <w:p w14:paraId="3B005EC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②触头接触表面镀银层厚度为15-20μm，其它表面镀银层厚度为不小于8μm。</w:t>
      </w:r>
    </w:p>
    <w:p w14:paraId="68D01D36">
      <w:pPr>
        <w:keepNext w:val="0"/>
        <w:keepLines w:val="0"/>
        <w:pageBreakBefore w:val="0"/>
        <w:widowControl w:val="0"/>
        <w:kinsoku/>
        <w:wordWrap/>
        <w:overflowPunct/>
        <w:topLinePunct w:val="0"/>
        <w:autoSpaceDE w:val="0"/>
        <w:autoSpaceDN w:val="0"/>
        <w:bidi w:val="0"/>
        <w:adjustRightInd/>
        <w:snapToGrid/>
        <w:spacing w:line="360" w:lineRule="auto"/>
        <w:ind w:right="0"/>
        <w:jc w:val="left"/>
        <w:textAlignment w:val="auto"/>
        <w:outlineLvl w:val="1"/>
        <w:rPr>
          <w:rFonts w:hint="eastAsia" w:asciiTheme="minorEastAsia" w:hAnsiTheme="minorEastAsia" w:eastAsiaTheme="minorEastAsia" w:cstheme="minorEastAsia"/>
          <w:b/>
          <w:bCs/>
          <w:sz w:val="24"/>
          <w:szCs w:val="24"/>
          <w:shd w:val="clear" w:color="auto" w:fill="FFFFFF"/>
          <w:lang w:val="en-US" w:eastAsia="zh-CN"/>
        </w:rPr>
      </w:pPr>
      <w:bookmarkStart w:id="46" w:name="_Toc13912"/>
      <w:r>
        <w:rPr>
          <w:rFonts w:hint="eastAsia" w:asciiTheme="minorEastAsia" w:hAnsiTheme="minorEastAsia" w:eastAsiaTheme="minorEastAsia" w:cstheme="minorEastAsia"/>
          <w:b/>
          <w:bCs/>
          <w:sz w:val="24"/>
          <w:szCs w:val="24"/>
          <w:shd w:val="clear" w:color="auto" w:fill="FFFFFF"/>
          <w:lang w:val="en-US" w:eastAsia="zh-CN"/>
        </w:rPr>
        <w:t>5.2 梅花触头弹簧的要求</w:t>
      </w:r>
      <w:bookmarkEnd w:id="46"/>
    </w:p>
    <w:p w14:paraId="2C319AE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①弹簧的尺寸及力符合设计要求；</w:t>
      </w:r>
    </w:p>
    <w:p w14:paraId="6FD9B11B">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②在正常工作环境下不出现永久变形及弹簧力明显减小；</w:t>
      </w:r>
    </w:p>
    <w:p w14:paraId="203EAA5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③梅花触头支架铆钉牢固，触指和支架间装配良好，不松动。常用规格的断路器梅花触头的结构参数及性能如下表：</w:t>
      </w:r>
    </w:p>
    <w:tbl>
      <w:tblPr>
        <w:tblStyle w:val="10"/>
        <w:tblW w:w="8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80"/>
        <w:gridCol w:w="1710"/>
        <w:gridCol w:w="1810"/>
        <w:gridCol w:w="1860"/>
      </w:tblGrid>
      <w:tr w14:paraId="5D15D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jc w:val="center"/>
        </w:trPr>
        <w:tc>
          <w:tcPr>
            <w:tcW w:w="2980" w:type="dxa"/>
            <w:vAlign w:val="center"/>
          </w:tcPr>
          <w:p w14:paraId="758E88C7">
            <w:pPr>
              <w:pStyle w:val="13"/>
              <w:spacing w:line="358" w:lineRule="exact"/>
              <w:ind w:left="482"/>
              <w:jc w:val="center"/>
              <w:rPr>
                <w:sz w:val="21"/>
                <w:szCs w:val="21"/>
              </w:rPr>
            </w:pPr>
            <w:r>
              <w:rPr>
                <w:sz w:val="21"/>
                <w:szCs w:val="21"/>
              </w:rPr>
              <w:t>技术参数、尺寸、规格</w:t>
            </w:r>
          </w:p>
        </w:tc>
        <w:tc>
          <w:tcPr>
            <w:tcW w:w="1710" w:type="dxa"/>
            <w:vAlign w:val="center"/>
          </w:tcPr>
          <w:p w14:paraId="2EA3C2FE">
            <w:pPr>
              <w:pStyle w:val="13"/>
              <w:spacing w:line="358" w:lineRule="exact"/>
              <w:ind w:left="438" w:right="430"/>
              <w:jc w:val="center"/>
              <w:rPr>
                <w:sz w:val="21"/>
                <w:szCs w:val="21"/>
              </w:rPr>
            </w:pPr>
            <w:r>
              <w:rPr>
                <w:sz w:val="21"/>
                <w:szCs w:val="21"/>
              </w:rPr>
              <w:t>1250</w:t>
            </w:r>
          </w:p>
        </w:tc>
        <w:tc>
          <w:tcPr>
            <w:tcW w:w="1810" w:type="dxa"/>
            <w:vAlign w:val="center"/>
          </w:tcPr>
          <w:p w14:paraId="2A6AC0F1">
            <w:pPr>
              <w:pStyle w:val="13"/>
              <w:spacing w:line="358" w:lineRule="exact"/>
              <w:jc w:val="center"/>
              <w:rPr>
                <w:sz w:val="21"/>
                <w:szCs w:val="21"/>
              </w:rPr>
            </w:pPr>
            <w:r>
              <w:rPr>
                <w:sz w:val="21"/>
                <w:szCs w:val="21"/>
              </w:rPr>
              <w:t>2000</w:t>
            </w:r>
          </w:p>
        </w:tc>
        <w:tc>
          <w:tcPr>
            <w:tcW w:w="1860" w:type="dxa"/>
            <w:vAlign w:val="center"/>
          </w:tcPr>
          <w:p w14:paraId="24F14C23">
            <w:pPr>
              <w:pStyle w:val="13"/>
              <w:spacing w:line="358" w:lineRule="exact"/>
              <w:jc w:val="center"/>
              <w:rPr>
                <w:rFonts w:ascii="宋体" w:hAnsi="宋体" w:eastAsia="宋体" w:cs="宋体"/>
                <w:sz w:val="21"/>
                <w:szCs w:val="21"/>
              </w:rPr>
            </w:pPr>
            <w:r>
              <w:rPr>
                <w:rFonts w:ascii="宋体" w:hAnsi="宋体" w:eastAsia="宋体" w:cs="宋体"/>
                <w:sz w:val="21"/>
                <w:szCs w:val="21"/>
              </w:rPr>
              <w:t>2500</w:t>
            </w:r>
          </w:p>
        </w:tc>
      </w:tr>
      <w:tr w14:paraId="677C8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jc w:val="center"/>
        </w:trPr>
        <w:tc>
          <w:tcPr>
            <w:tcW w:w="2980" w:type="dxa"/>
            <w:vAlign w:val="center"/>
          </w:tcPr>
          <w:p w14:paraId="355F2CB9">
            <w:pPr>
              <w:pStyle w:val="13"/>
              <w:spacing w:line="358" w:lineRule="exact"/>
              <w:ind w:left="482"/>
              <w:jc w:val="center"/>
              <w:rPr>
                <w:rFonts w:ascii="宋体" w:hAnsi="宋体" w:eastAsia="宋体" w:cs="宋体"/>
                <w:sz w:val="21"/>
                <w:szCs w:val="21"/>
              </w:rPr>
            </w:pPr>
            <w:r>
              <w:rPr>
                <w:rFonts w:ascii="宋体" w:hAnsi="宋体" w:eastAsia="宋体" w:cs="宋体"/>
                <w:sz w:val="21"/>
                <w:szCs w:val="21"/>
              </w:rPr>
              <w:t>额定电流（A）</w:t>
            </w:r>
          </w:p>
        </w:tc>
        <w:tc>
          <w:tcPr>
            <w:tcW w:w="1710" w:type="dxa"/>
            <w:vAlign w:val="center"/>
          </w:tcPr>
          <w:p w14:paraId="0A12AB37">
            <w:pPr>
              <w:pStyle w:val="13"/>
              <w:spacing w:line="358" w:lineRule="exact"/>
              <w:jc w:val="center"/>
              <w:rPr>
                <w:rFonts w:ascii="宋体" w:hAnsi="宋体" w:eastAsia="宋体" w:cs="宋体"/>
                <w:sz w:val="21"/>
                <w:szCs w:val="21"/>
              </w:rPr>
            </w:pPr>
            <w:r>
              <w:rPr>
                <w:rFonts w:ascii="宋体" w:hAnsi="宋体" w:eastAsia="宋体" w:cs="宋体"/>
                <w:sz w:val="21"/>
                <w:szCs w:val="21"/>
              </w:rPr>
              <w:t>1250</w:t>
            </w:r>
          </w:p>
        </w:tc>
        <w:tc>
          <w:tcPr>
            <w:tcW w:w="1810" w:type="dxa"/>
            <w:vAlign w:val="center"/>
          </w:tcPr>
          <w:p w14:paraId="7ED87AB7">
            <w:pPr>
              <w:pStyle w:val="13"/>
              <w:spacing w:line="358" w:lineRule="exact"/>
              <w:jc w:val="center"/>
              <w:rPr>
                <w:rFonts w:ascii="宋体" w:hAnsi="宋体" w:eastAsia="宋体" w:cs="宋体"/>
                <w:sz w:val="21"/>
                <w:szCs w:val="21"/>
              </w:rPr>
            </w:pPr>
            <w:r>
              <w:rPr>
                <w:rFonts w:ascii="宋体" w:hAnsi="宋体" w:eastAsia="宋体" w:cs="宋体"/>
                <w:sz w:val="21"/>
                <w:szCs w:val="21"/>
              </w:rPr>
              <w:t>2000</w:t>
            </w:r>
          </w:p>
        </w:tc>
        <w:tc>
          <w:tcPr>
            <w:tcW w:w="1860" w:type="dxa"/>
            <w:vAlign w:val="center"/>
          </w:tcPr>
          <w:p w14:paraId="7B707DC8">
            <w:pPr>
              <w:pStyle w:val="13"/>
              <w:spacing w:line="358" w:lineRule="exact"/>
              <w:jc w:val="center"/>
              <w:rPr>
                <w:rFonts w:ascii="宋体" w:hAnsi="宋体" w:eastAsia="宋体" w:cs="宋体"/>
                <w:sz w:val="21"/>
                <w:szCs w:val="21"/>
              </w:rPr>
            </w:pPr>
            <w:r>
              <w:rPr>
                <w:rFonts w:ascii="宋体" w:hAnsi="宋体" w:eastAsia="宋体" w:cs="宋体"/>
                <w:sz w:val="21"/>
                <w:szCs w:val="21"/>
              </w:rPr>
              <w:t>2500</w:t>
            </w:r>
          </w:p>
        </w:tc>
      </w:tr>
      <w:tr w14:paraId="4AF833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jc w:val="center"/>
        </w:trPr>
        <w:tc>
          <w:tcPr>
            <w:tcW w:w="2980" w:type="dxa"/>
            <w:vAlign w:val="center"/>
          </w:tcPr>
          <w:p w14:paraId="5F197F6D">
            <w:pPr>
              <w:pStyle w:val="13"/>
              <w:spacing w:before="1"/>
              <w:ind w:left="182" w:right="169"/>
              <w:jc w:val="center"/>
              <w:rPr>
                <w:sz w:val="21"/>
                <w:szCs w:val="21"/>
              </w:rPr>
            </w:pPr>
            <w:r>
              <w:rPr>
                <w:sz w:val="21"/>
                <w:szCs w:val="21"/>
              </w:rPr>
              <w:t>与触臂接触点闭合圆直径</w:t>
            </w:r>
          </w:p>
        </w:tc>
        <w:tc>
          <w:tcPr>
            <w:tcW w:w="1710" w:type="dxa"/>
            <w:vAlign w:val="center"/>
          </w:tcPr>
          <w:p w14:paraId="43513B14">
            <w:pPr>
              <w:pStyle w:val="13"/>
              <w:spacing w:before="1"/>
              <w:ind w:left="441" w:right="430"/>
              <w:jc w:val="center"/>
              <w:rPr>
                <w:sz w:val="21"/>
                <w:szCs w:val="21"/>
              </w:rPr>
            </w:pPr>
            <w:r>
              <w:rPr>
                <w:sz w:val="21"/>
                <w:szCs w:val="21"/>
              </w:rPr>
              <w:t>φ40.5</w:t>
            </w:r>
          </w:p>
        </w:tc>
        <w:tc>
          <w:tcPr>
            <w:tcW w:w="1810" w:type="dxa"/>
            <w:vAlign w:val="center"/>
          </w:tcPr>
          <w:p w14:paraId="606BC4BB">
            <w:pPr>
              <w:pStyle w:val="13"/>
              <w:spacing w:before="1"/>
              <w:ind w:left="366" w:right="356"/>
              <w:jc w:val="center"/>
              <w:rPr>
                <w:sz w:val="21"/>
                <w:szCs w:val="21"/>
              </w:rPr>
            </w:pPr>
            <w:r>
              <w:rPr>
                <w:sz w:val="21"/>
                <w:szCs w:val="21"/>
              </w:rPr>
              <w:t>φ70.5</w:t>
            </w:r>
          </w:p>
        </w:tc>
        <w:tc>
          <w:tcPr>
            <w:tcW w:w="1860" w:type="dxa"/>
            <w:vAlign w:val="center"/>
          </w:tcPr>
          <w:p w14:paraId="3D7001F5">
            <w:pPr>
              <w:pStyle w:val="13"/>
              <w:spacing w:before="1"/>
              <w:ind w:left="322" w:right="310"/>
              <w:jc w:val="center"/>
              <w:rPr>
                <w:sz w:val="21"/>
                <w:szCs w:val="21"/>
              </w:rPr>
            </w:pPr>
            <w:r>
              <w:rPr>
                <w:sz w:val="21"/>
                <w:szCs w:val="21"/>
              </w:rPr>
              <w:t>φ 100.5</w:t>
            </w:r>
          </w:p>
        </w:tc>
      </w:tr>
      <w:tr w14:paraId="201EE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jc w:val="center"/>
        </w:trPr>
        <w:tc>
          <w:tcPr>
            <w:tcW w:w="2980" w:type="dxa"/>
            <w:vAlign w:val="center"/>
          </w:tcPr>
          <w:p w14:paraId="46CF1ECD">
            <w:pPr>
              <w:pStyle w:val="13"/>
              <w:spacing w:before="4"/>
              <w:ind w:left="182" w:right="174"/>
              <w:jc w:val="center"/>
              <w:rPr>
                <w:sz w:val="21"/>
                <w:szCs w:val="21"/>
              </w:rPr>
            </w:pPr>
            <w:r>
              <w:rPr>
                <w:sz w:val="21"/>
                <w:szCs w:val="21"/>
              </w:rPr>
              <w:t>与静触头接触点闭合圆直径</w:t>
            </w:r>
          </w:p>
        </w:tc>
        <w:tc>
          <w:tcPr>
            <w:tcW w:w="1710" w:type="dxa"/>
            <w:vAlign w:val="center"/>
          </w:tcPr>
          <w:p w14:paraId="1694AC0E">
            <w:pPr>
              <w:pStyle w:val="13"/>
              <w:spacing w:before="4"/>
              <w:ind w:left="441" w:right="430"/>
              <w:jc w:val="center"/>
              <w:rPr>
                <w:sz w:val="21"/>
                <w:szCs w:val="21"/>
              </w:rPr>
            </w:pPr>
            <w:r>
              <w:rPr>
                <w:sz w:val="21"/>
                <w:szCs w:val="21"/>
              </w:rPr>
              <w:t>φ47.5</w:t>
            </w:r>
          </w:p>
        </w:tc>
        <w:tc>
          <w:tcPr>
            <w:tcW w:w="1810" w:type="dxa"/>
            <w:vAlign w:val="center"/>
          </w:tcPr>
          <w:p w14:paraId="48798476">
            <w:pPr>
              <w:pStyle w:val="13"/>
              <w:spacing w:before="4"/>
              <w:ind w:left="366" w:right="356"/>
              <w:jc w:val="center"/>
              <w:rPr>
                <w:sz w:val="21"/>
                <w:szCs w:val="21"/>
              </w:rPr>
            </w:pPr>
            <w:r>
              <w:rPr>
                <w:sz w:val="21"/>
                <w:szCs w:val="21"/>
              </w:rPr>
              <w:t>φ77.5</w:t>
            </w:r>
          </w:p>
        </w:tc>
        <w:tc>
          <w:tcPr>
            <w:tcW w:w="1860" w:type="dxa"/>
            <w:vAlign w:val="center"/>
          </w:tcPr>
          <w:p w14:paraId="60E32979">
            <w:pPr>
              <w:pStyle w:val="13"/>
              <w:spacing w:before="4"/>
              <w:ind w:left="322" w:right="310"/>
              <w:jc w:val="center"/>
              <w:rPr>
                <w:sz w:val="21"/>
                <w:szCs w:val="21"/>
              </w:rPr>
            </w:pPr>
            <w:r>
              <w:rPr>
                <w:sz w:val="21"/>
                <w:szCs w:val="21"/>
              </w:rPr>
              <w:t>φ 107.5</w:t>
            </w:r>
          </w:p>
        </w:tc>
      </w:tr>
      <w:tr w14:paraId="382B5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2980" w:type="dxa"/>
            <w:vAlign w:val="center"/>
          </w:tcPr>
          <w:p w14:paraId="178DB1D6">
            <w:pPr>
              <w:pStyle w:val="13"/>
              <w:spacing w:before="3"/>
              <w:ind w:left="182" w:right="172"/>
              <w:jc w:val="center"/>
              <w:rPr>
                <w:sz w:val="21"/>
                <w:szCs w:val="21"/>
              </w:rPr>
            </w:pPr>
            <w:r>
              <w:rPr>
                <w:sz w:val="21"/>
                <w:szCs w:val="21"/>
              </w:rPr>
              <w:t>最大外径</w:t>
            </w:r>
          </w:p>
        </w:tc>
        <w:tc>
          <w:tcPr>
            <w:tcW w:w="1710" w:type="dxa"/>
            <w:vAlign w:val="center"/>
          </w:tcPr>
          <w:p w14:paraId="2566BBB0">
            <w:pPr>
              <w:pStyle w:val="13"/>
              <w:spacing w:before="3"/>
              <w:ind w:left="441" w:right="430"/>
              <w:jc w:val="center"/>
              <w:rPr>
                <w:sz w:val="21"/>
                <w:szCs w:val="21"/>
              </w:rPr>
            </w:pPr>
            <w:r>
              <w:rPr>
                <w:sz w:val="21"/>
                <w:szCs w:val="21"/>
              </w:rPr>
              <w:t>φ88</w:t>
            </w:r>
          </w:p>
        </w:tc>
        <w:tc>
          <w:tcPr>
            <w:tcW w:w="1810" w:type="dxa"/>
            <w:vAlign w:val="center"/>
          </w:tcPr>
          <w:p w14:paraId="2AE180BF">
            <w:pPr>
              <w:pStyle w:val="13"/>
              <w:spacing w:before="3"/>
              <w:ind w:left="366" w:right="356"/>
              <w:jc w:val="center"/>
              <w:rPr>
                <w:sz w:val="21"/>
                <w:szCs w:val="21"/>
              </w:rPr>
            </w:pPr>
            <w:r>
              <w:rPr>
                <w:sz w:val="21"/>
                <w:szCs w:val="21"/>
              </w:rPr>
              <w:t>φ 129</w:t>
            </w:r>
          </w:p>
        </w:tc>
        <w:tc>
          <w:tcPr>
            <w:tcW w:w="1860" w:type="dxa"/>
            <w:vAlign w:val="center"/>
          </w:tcPr>
          <w:p w14:paraId="71070572">
            <w:pPr>
              <w:pStyle w:val="13"/>
              <w:spacing w:before="3"/>
              <w:ind w:left="322" w:right="310"/>
              <w:jc w:val="center"/>
              <w:rPr>
                <w:sz w:val="21"/>
                <w:szCs w:val="21"/>
              </w:rPr>
            </w:pPr>
            <w:r>
              <w:rPr>
                <w:sz w:val="21"/>
                <w:szCs w:val="21"/>
              </w:rPr>
              <w:t>φ 158</w:t>
            </w:r>
          </w:p>
        </w:tc>
      </w:tr>
      <w:tr w14:paraId="51901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jc w:val="center"/>
        </w:trPr>
        <w:tc>
          <w:tcPr>
            <w:tcW w:w="2980" w:type="dxa"/>
            <w:vAlign w:val="center"/>
          </w:tcPr>
          <w:p w14:paraId="6890A032">
            <w:pPr>
              <w:pStyle w:val="13"/>
              <w:spacing w:before="2"/>
              <w:ind w:left="182" w:right="174"/>
              <w:jc w:val="center"/>
              <w:rPr>
                <w:sz w:val="21"/>
                <w:szCs w:val="21"/>
              </w:rPr>
            </w:pPr>
            <w:r>
              <w:rPr>
                <w:sz w:val="21"/>
                <w:szCs w:val="21"/>
              </w:rPr>
              <w:t>配动触臂直径</w:t>
            </w:r>
          </w:p>
        </w:tc>
        <w:tc>
          <w:tcPr>
            <w:tcW w:w="1710" w:type="dxa"/>
            <w:vAlign w:val="center"/>
          </w:tcPr>
          <w:p w14:paraId="0CA2DC60">
            <w:pPr>
              <w:pStyle w:val="13"/>
              <w:spacing w:before="2"/>
              <w:ind w:left="441" w:right="430"/>
              <w:jc w:val="center"/>
              <w:rPr>
                <w:sz w:val="21"/>
                <w:szCs w:val="21"/>
              </w:rPr>
            </w:pPr>
            <w:r>
              <w:rPr>
                <w:sz w:val="21"/>
                <w:szCs w:val="21"/>
              </w:rPr>
              <w:t>φ42</w:t>
            </w:r>
          </w:p>
        </w:tc>
        <w:tc>
          <w:tcPr>
            <w:tcW w:w="1810" w:type="dxa"/>
            <w:vAlign w:val="center"/>
          </w:tcPr>
          <w:p w14:paraId="636E1FDA">
            <w:pPr>
              <w:pStyle w:val="13"/>
              <w:spacing w:before="2"/>
              <w:ind w:left="366" w:right="353"/>
              <w:jc w:val="center"/>
              <w:rPr>
                <w:sz w:val="21"/>
                <w:szCs w:val="21"/>
              </w:rPr>
            </w:pPr>
            <w:r>
              <w:rPr>
                <w:sz w:val="21"/>
                <w:szCs w:val="21"/>
              </w:rPr>
              <w:t>φ72</w:t>
            </w:r>
          </w:p>
        </w:tc>
        <w:tc>
          <w:tcPr>
            <w:tcW w:w="1860" w:type="dxa"/>
            <w:vAlign w:val="center"/>
          </w:tcPr>
          <w:p w14:paraId="0094A2BB">
            <w:pPr>
              <w:pStyle w:val="13"/>
              <w:spacing w:before="2"/>
              <w:ind w:left="322" w:right="310"/>
              <w:jc w:val="center"/>
              <w:rPr>
                <w:sz w:val="21"/>
                <w:szCs w:val="21"/>
              </w:rPr>
            </w:pPr>
            <w:r>
              <w:rPr>
                <w:sz w:val="21"/>
                <w:szCs w:val="21"/>
              </w:rPr>
              <w:t>φ 102</w:t>
            </w:r>
          </w:p>
        </w:tc>
      </w:tr>
      <w:tr w14:paraId="0EAF2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jc w:val="center"/>
        </w:trPr>
        <w:tc>
          <w:tcPr>
            <w:tcW w:w="2980" w:type="dxa"/>
            <w:vAlign w:val="center"/>
          </w:tcPr>
          <w:p w14:paraId="66583C82">
            <w:pPr>
              <w:pStyle w:val="13"/>
              <w:spacing w:before="3"/>
              <w:ind w:left="182" w:right="174"/>
              <w:jc w:val="center"/>
              <w:rPr>
                <w:sz w:val="21"/>
                <w:szCs w:val="21"/>
              </w:rPr>
            </w:pPr>
            <w:r>
              <w:rPr>
                <w:sz w:val="21"/>
                <w:szCs w:val="21"/>
              </w:rPr>
              <w:t>配静触臂直径</w:t>
            </w:r>
          </w:p>
        </w:tc>
        <w:tc>
          <w:tcPr>
            <w:tcW w:w="1710" w:type="dxa"/>
            <w:vAlign w:val="center"/>
          </w:tcPr>
          <w:p w14:paraId="3400EC72">
            <w:pPr>
              <w:pStyle w:val="13"/>
              <w:spacing w:before="3"/>
              <w:ind w:left="441" w:right="430"/>
              <w:jc w:val="center"/>
              <w:rPr>
                <w:sz w:val="21"/>
                <w:szCs w:val="21"/>
              </w:rPr>
            </w:pPr>
            <w:r>
              <w:rPr>
                <w:sz w:val="21"/>
                <w:szCs w:val="21"/>
              </w:rPr>
              <w:t>φ49</w:t>
            </w:r>
          </w:p>
        </w:tc>
        <w:tc>
          <w:tcPr>
            <w:tcW w:w="1810" w:type="dxa"/>
            <w:vAlign w:val="center"/>
          </w:tcPr>
          <w:p w14:paraId="4493778F">
            <w:pPr>
              <w:pStyle w:val="13"/>
              <w:spacing w:before="3"/>
              <w:ind w:left="366" w:right="353"/>
              <w:jc w:val="center"/>
              <w:rPr>
                <w:sz w:val="21"/>
                <w:szCs w:val="21"/>
              </w:rPr>
            </w:pPr>
            <w:r>
              <w:rPr>
                <w:sz w:val="21"/>
                <w:szCs w:val="21"/>
              </w:rPr>
              <w:t>φ79</w:t>
            </w:r>
          </w:p>
        </w:tc>
        <w:tc>
          <w:tcPr>
            <w:tcW w:w="1860" w:type="dxa"/>
            <w:vAlign w:val="center"/>
          </w:tcPr>
          <w:p w14:paraId="3C724287">
            <w:pPr>
              <w:pStyle w:val="13"/>
              <w:spacing w:before="3"/>
              <w:ind w:left="322" w:right="310"/>
              <w:jc w:val="center"/>
              <w:rPr>
                <w:sz w:val="21"/>
                <w:szCs w:val="21"/>
              </w:rPr>
            </w:pPr>
            <w:r>
              <w:rPr>
                <w:sz w:val="21"/>
                <w:szCs w:val="21"/>
              </w:rPr>
              <w:t>φ 109</w:t>
            </w:r>
          </w:p>
        </w:tc>
      </w:tr>
      <w:tr w14:paraId="2FA6C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jc w:val="center"/>
        </w:trPr>
        <w:tc>
          <w:tcPr>
            <w:tcW w:w="2980" w:type="dxa"/>
            <w:vAlign w:val="center"/>
          </w:tcPr>
          <w:p w14:paraId="5E4562EF">
            <w:pPr>
              <w:pStyle w:val="13"/>
              <w:spacing w:before="2"/>
              <w:ind w:left="182" w:right="172"/>
              <w:jc w:val="center"/>
              <w:rPr>
                <w:sz w:val="21"/>
                <w:szCs w:val="21"/>
              </w:rPr>
            </w:pPr>
            <w:r>
              <w:rPr>
                <w:sz w:val="21"/>
                <w:szCs w:val="21"/>
              </w:rPr>
              <w:t>触指片数</w:t>
            </w:r>
          </w:p>
        </w:tc>
        <w:tc>
          <w:tcPr>
            <w:tcW w:w="1710" w:type="dxa"/>
            <w:vAlign w:val="center"/>
          </w:tcPr>
          <w:p w14:paraId="2509CE7D">
            <w:pPr>
              <w:pStyle w:val="13"/>
              <w:spacing w:before="2"/>
              <w:ind w:left="441" w:right="430"/>
              <w:jc w:val="center"/>
              <w:rPr>
                <w:sz w:val="21"/>
                <w:szCs w:val="21"/>
              </w:rPr>
            </w:pPr>
            <w:r>
              <w:rPr>
                <w:sz w:val="21"/>
                <w:szCs w:val="21"/>
              </w:rPr>
              <w:t>30</w:t>
            </w:r>
          </w:p>
        </w:tc>
        <w:tc>
          <w:tcPr>
            <w:tcW w:w="1810" w:type="dxa"/>
            <w:vAlign w:val="center"/>
          </w:tcPr>
          <w:p w14:paraId="5361E733">
            <w:pPr>
              <w:pStyle w:val="13"/>
              <w:spacing w:before="2"/>
              <w:ind w:left="366" w:right="353"/>
              <w:jc w:val="center"/>
              <w:rPr>
                <w:sz w:val="21"/>
                <w:szCs w:val="21"/>
              </w:rPr>
            </w:pPr>
            <w:r>
              <w:rPr>
                <w:sz w:val="21"/>
                <w:szCs w:val="21"/>
              </w:rPr>
              <w:t>48</w:t>
            </w:r>
          </w:p>
        </w:tc>
        <w:tc>
          <w:tcPr>
            <w:tcW w:w="1860" w:type="dxa"/>
            <w:vAlign w:val="center"/>
          </w:tcPr>
          <w:p w14:paraId="0B6B9E6A">
            <w:pPr>
              <w:pStyle w:val="13"/>
              <w:spacing w:before="2"/>
              <w:ind w:left="322" w:right="310"/>
              <w:jc w:val="center"/>
              <w:rPr>
                <w:sz w:val="21"/>
                <w:szCs w:val="21"/>
              </w:rPr>
            </w:pPr>
            <w:r>
              <w:rPr>
                <w:sz w:val="21"/>
                <w:szCs w:val="21"/>
              </w:rPr>
              <w:t>64</w:t>
            </w:r>
          </w:p>
        </w:tc>
      </w:tr>
    </w:tbl>
    <w:p w14:paraId="20465DEB">
      <w:pPr>
        <w:pStyle w:val="3"/>
        <w:ind w:left="0"/>
        <w:rPr>
          <w:sz w:val="20"/>
        </w:rPr>
      </w:pPr>
    </w:p>
    <w:p w14:paraId="214D3B82">
      <w:pPr>
        <w:keepNext w:val="0"/>
        <w:keepLines w:val="0"/>
        <w:pageBreakBefore w:val="0"/>
        <w:widowControl w:val="0"/>
        <w:kinsoku/>
        <w:wordWrap/>
        <w:overflowPunct/>
        <w:topLinePunct w:val="0"/>
        <w:autoSpaceDE w:val="0"/>
        <w:autoSpaceDN w:val="0"/>
        <w:bidi w:val="0"/>
        <w:adjustRightInd/>
        <w:snapToGrid/>
        <w:spacing w:line="360" w:lineRule="auto"/>
        <w:ind w:right="0"/>
        <w:jc w:val="left"/>
        <w:textAlignment w:val="auto"/>
        <w:outlineLvl w:val="1"/>
        <w:rPr>
          <w:rFonts w:hint="eastAsia" w:asciiTheme="minorEastAsia" w:hAnsiTheme="minorEastAsia" w:eastAsiaTheme="minorEastAsia" w:cstheme="minorEastAsia"/>
          <w:b/>
          <w:bCs/>
          <w:sz w:val="24"/>
          <w:szCs w:val="24"/>
          <w:shd w:val="clear" w:color="auto" w:fill="FFFFFF"/>
          <w:lang w:val="en-US" w:eastAsia="zh-CN"/>
        </w:rPr>
      </w:pPr>
      <w:bookmarkStart w:id="47" w:name="_Toc9469"/>
      <w:r>
        <w:rPr>
          <w:rFonts w:hint="eastAsia" w:asciiTheme="minorEastAsia" w:hAnsiTheme="minorEastAsia" w:eastAsiaTheme="minorEastAsia" w:cstheme="minorEastAsia"/>
          <w:b/>
          <w:bCs/>
          <w:sz w:val="24"/>
          <w:szCs w:val="24"/>
          <w:shd w:val="clear" w:color="auto" w:fill="FFFFFF"/>
          <w:lang w:val="en-US" w:eastAsia="zh-CN"/>
        </w:rPr>
        <w:t>5.3 断路器触臂技术要求：</w:t>
      </w:r>
      <w:bookmarkEnd w:id="47"/>
    </w:p>
    <w:p w14:paraId="75D28FFB">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额定电压：12kV </w:t>
      </w:r>
    </w:p>
    <w:p w14:paraId="5494BC2A">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额定频率：50HZ</w:t>
      </w:r>
    </w:p>
    <w:p w14:paraId="40FB0890">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额定电流：1250A </w:t>
      </w:r>
    </w:p>
    <w:p w14:paraId="55BED094">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材质要求：</w:t>
      </w:r>
    </w:p>
    <w:p w14:paraId="3EDCE708">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①触臂材料为 T2Y 铜；</w:t>
      </w:r>
    </w:p>
    <w:p w14:paraId="50BBEB11">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②对于≥2000A 的电流，外圆表面非接触采用硫化处理，硫化绝缘粉末（如 CZ1531-2），厚度为 1.2-1.5mm；固定接触面与触臂一体成型。</w:t>
      </w:r>
    </w:p>
    <w:p w14:paraId="14AF627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触臂表面要求：</w:t>
      </w:r>
    </w:p>
    <w:p w14:paraId="2777A43F">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①触头接触表面其粗糙度不高于 Ra：3.2；</w:t>
      </w:r>
    </w:p>
    <w:p w14:paraId="224DE04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②触头接触表面镀银层厚度为15-20μm，其它表面镀银层厚度为不小于8μm。</w:t>
      </w:r>
    </w:p>
    <w:p w14:paraId="6A5E7178">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③静触头厚度大于 5mm.</w:t>
      </w:r>
    </w:p>
    <w:p w14:paraId="49EA049A">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常用规格的断路器触臂的结构参数及性能如下表：</w:t>
      </w:r>
    </w:p>
    <w:p w14:paraId="10A63037">
      <w:pPr>
        <w:pStyle w:val="3"/>
        <w:spacing w:before="3"/>
        <w:ind w:left="0"/>
        <w:rPr>
          <w:sz w:val="14"/>
        </w:rPr>
      </w:pPr>
    </w:p>
    <w:tbl>
      <w:tblPr>
        <w:tblStyle w:val="10"/>
        <w:tblW w:w="80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48"/>
        <w:gridCol w:w="1460"/>
        <w:gridCol w:w="1629"/>
        <w:gridCol w:w="1819"/>
      </w:tblGrid>
      <w:tr w14:paraId="57C3E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jc w:val="center"/>
        </w:trPr>
        <w:tc>
          <w:tcPr>
            <w:tcW w:w="3148" w:type="dxa"/>
            <w:vAlign w:val="center"/>
          </w:tcPr>
          <w:p w14:paraId="69532020">
            <w:pPr>
              <w:pStyle w:val="13"/>
              <w:spacing w:before="3"/>
              <w:ind w:left="433" w:right="422"/>
              <w:jc w:val="center"/>
              <w:rPr>
                <w:sz w:val="21"/>
                <w:szCs w:val="21"/>
              </w:rPr>
            </w:pPr>
            <w:r>
              <w:rPr>
                <w:sz w:val="21"/>
                <w:szCs w:val="21"/>
              </w:rPr>
              <w:t>技术参数、尺寸、规格</w:t>
            </w:r>
          </w:p>
        </w:tc>
        <w:tc>
          <w:tcPr>
            <w:tcW w:w="1460" w:type="dxa"/>
            <w:vAlign w:val="center"/>
          </w:tcPr>
          <w:p w14:paraId="0B2C688E">
            <w:pPr>
              <w:pStyle w:val="13"/>
              <w:spacing w:before="3"/>
              <w:ind w:left="294" w:right="282"/>
              <w:jc w:val="center"/>
              <w:rPr>
                <w:sz w:val="21"/>
                <w:szCs w:val="21"/>
              </w:rPr>
            </w:pPr>
            <w:r>
              <w:rPr>
                <w:sz w:val="21"/>
                <w:szCs w:val="21"/>
              </w:rPr>
              <w:t>1250</w:t>
            </w:r>
          </w:p>
        </w:tc>
        <w:tc>
          <w:tcPr>
            <w:tcW w:w="1629" w:type="dxa"/>
            <w:vAlign w:val="center"/>
          </w:tcPr>
          <w:p w14:paraId="7521C140">
            <w:pPr>
              <w:pStyle w:val="13"/>
              <w:spacing w:before="3"/>
              <w:ind w:left="217" w:right="209"/>
              <w:jc w:val="center"/>
              <w:rPr>
                <w:sz w:val="21"/>
                <w:szCs w:val="21"/>
              </w:rPr>
            </w:pPr>
            <w:r>
              <w:rPr>
                <w:sz w:val="21"/>
                <w:szCs w:val="21"/>
              </w:rPr>
              <w:t>2000</w:t>
            </w:r>
          </w:p>
        </w:tc>
        <w:tc>
          <w:tcPr>
            <w:tcW w:w="1819" w:type="dxa"/>
            <w:vAlign w:val="center"/>
          </w:tcPr>
          <w:p w14:paraId="2D502FF8">
            <w:pPr>
              <w:pStyle w:val="13"/>
              <w:spacing w:before="3"/>
              <w:ind w:left="327" w:right="318"/>
              <w:jc w:val="center"/>
              <w:rPr>
                <w:sz w:val="21"/>
                <w:szCs w:val="21"/>
              </w:rPr>
            </w:pPr>
            <w:r>
              <w:rPr>
                <w:sz w:val="21"/>
                <w:szCs w:val="21"/>
              </w:rPr>
              <w:t>2500</w:t>
            </w:r>
          </w:p>
        </w:tc>
      </w:tr>
      <w:tr w14:paraId="53CD0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jc w:val="center"/>
        </w:trPr>
        <w:tc>
          <w:tcPr>
            <w:tcW w:w="3148" w:type="dxa"/>
            <w:vAlign w:val="center"/>
          </w:tcPr>
          <w:p w14:paraId="07D1F3C7">
            <w:pPr>
              <w:pStyle w:val="13"/>
              <w:spacing w:before="2"/>
              <w:ind w:left="433" w:right="422"/>
              <w:jc w:val="center"/>
              <w:rPr>
                <w:sz w:val="21"/>
                <w:szCs w:val="21"/>
              </w:rPr>
            </w:pPr>
            <w:r>
              <w:rPr>
                <w:sz w:val="21"/>
                <w:szCs w:val="21"/>
              </w:rPr>
              <w:t>额定电流（A）</w:t>
            </w:r>
          </w:p>
        </w:tc>
        <w:tc>
          <w:tcPr>
            <w:tcW w:w="1460" w:type="dxa"/>
            <w:vAlign w:val="center"/>
          </w:tcPr>
          <w:p w14:paraId="218EF2A4">
            <w:pPr>
              <w:pStyle w:val="13"/>
              <w:spacing w:before="2"/>
              <w:ind w:right="282"/>
              <w:jc w:val="center"/>
              <w:rPr>
                <w:sz w:val="21"/>
                <w:szCs w:val="21"/>
              </w:rPr>
            </w:pPr>
            <w:r>
              <w:rPr>
                <w:rFonts w:hint="eastAsia"/>
                <w:sz w:val="21"/>
                <w:szCs w:val="21"/>
                <w:lang w:val="en-US" w:eastAsia="zh-CN"/>
              </w:rPr>
              <w:t xml:space="preserve">  </w:t>
            </w:r>
            <w:r>
              <w:rPr>
                <w:sz w:val="21"/>
                <w:szCs w:val="21"/>
              </w:rPr>
              <w:t>1250</w:t>
            </w:r>
          </w:p>
        </w:tc>
        <w:tc>
          <w:tcPr>
            <w:tcW w:w="1629" w:type="dxa"/>
            <w:vAlign w:val="center"/>
          </w:tcPr>
          <w:p w14:paraId="4D526DD9">
            <w:pPr>
              <w:pStyle w:val="13"/>
              <w:spacing w:before="2"/>
              <w:ind w:right="209"/>
              <w:jc w:val="center"/>
              <w:rPr>
                <w:sz w:val="21"/>
                <w:szCs w:val="21"/>
              </w:rPr>
            </w:pPr>
            <w:r>
              <w:rPr>
                <w:sz w:val="21"/>
                <w:szCs w:val="21"/>
              </w:rPr>
              <w:t>2000</w:t>
            </w:r>
          </w:p>
        </w:tc>
        <w:tc>
          <w:tcPr>
            <w:tcW w:w="1819" w:type="dxa"/>
            <w:vAlign w:val="center"/>
          </w:tcPr>
          <w:p w14:paraId="3083C8F4">
            <w:pPr>
              <w:pStyle w:val="13"/>
              <w:spacing w:before="2"/>
              <w:ind w:right="318"/>
              <w:jc w:val="center"/>
              <w:rPr>
                <w:sz w:val="21"/>
                <w:szCs w:val="21"/>
              </w:rPr>
            </w:pPr>
            <w:r>
              <w:rPr>
                <w:sz w:val="21"/>
                <w:szCs w:val="21"/>
              </w:rPr>
              <w:t>2500</w:t>
            </w:r>
          </w:p>
        </w:tc>
      </w:tr>
      <w:tr w14:paraId="6446D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3148" w:type="dxa"/>
            <w:vAlign w:val="center"/>
          </w:tcPr>
          <w:p w14:paraId="6674A8E4">
            <w:pPr>
              <w:pStyle w:val="13"/>
              <w:spacing w:before="2"/>
              <w:ind w:left="433" w:right="422"/>
              <w:jc w:val="center"/>
              <w:rPr>
                <w:sz w:val="21"/>
                <w:szCs w:val="21"/>
              </w:rPr>
            </w:pPr>
            <w:r>
              <w:rPr>
                <w:sz w:val="21"/>
                <w:szCs w:val="21"/>
              </w:rPr>
              <w:t>触臂接触点闭合圆直径</w:t>
            </w:r>
          </w:p>
        </w:tc>
        <w:tc>
          <w:tcPr>
            <w:tcW w:w="1460" w:type="dxa"/>
            <w:vAlign w:val="center"/>
          </w:tcPr>
          <w:p w14:paraId="00B7177F">
            <w:pPr>
              <w:pStyle w:val="13"/>
              <w:spacing w:before="2"/>
              <w:ind w:right="284"/>
              <w:jc w:val="center"/>
              <w:rPr>
                <w:sz w:val="21"/>
                <w:szCs w:val="21"/>
              </w:rPr>
            </w:pPr>
            <w:r>
              <w:rPr>
                <w:rFonts w:hint="eastAsia"/>
                <w:sz w:val="21"/>
                <w:szCs w:val="21"/>
                <w:lang w:val="en-US" w:eastAsia="zh-CN"/>
              </w:rPr>
              <w:t xml:space="preserve">  </w:t>
            </w:r>
            <w:r>
              <w:rPr>
                <w:sz w:val="21"/>
                <w:szCs w:val="21"/>
              </w:rPr>
              <w:t>φ40.5</w:t>
            </w:r>
          </w:p>
        </w:tc>
        <w:tc>
          <w:tcPr>
            <w:tcW w:w="1629" w:type="dxa"/>
            <w:vAlign w:val="center"/>
          </w:tcPr>
          <w:p w14:paraId="388A448D">
            <w:pPr>
              <w:pStyle w:val="13"/>
              <w:spacing w:before="2"/>
              <w:ind w:right="209"/>
              <w:jc w:val="center"/>
              <w:rPr>
                <w:sz w:val="21"/>
                <w:szCs w:val="21"/>
              </w:rPr>
            </w:pPr>
            <w:r>
              <w:rPr>
                <w:sz w:val="21"/>
                <w:szCs w:val="21"/>
              </w:rPr>
              <w:t>φ70.5</w:t>
            </w:r>
          </w:p>
        </w:tc>
        <w:tc>
          <w:tcPr>
            <w:tcW w:w="1819" w:type="dxa"/>
            <w:vAlign w:val="center"/>
          </w:tcPr>
          <w:p w14:paraId="2B5BA366">
            <w:pPr>
              <w:pStyle w:val="13"/>
              <w:spacing w:before="2"/>
              <w:ind w:right="318"/>
              <w:jc w:val="center"/>
              <w:rPr>
                <w:sz w:val="21"/>
                <w:szCs w:val="21"/>
              </w:rPr>
            </w:pPr>
            <w:r>
              <w:rPr>
                <w:sz w:val="21"/>
                <w:szCs w:val="21"/>
              </w:rPr>
              <w:t>φ100.5</w:t>
            </w:r>
          </w:p>
        </w:tc>
      </w:tr>
      <w:tr w14:paraId="1FC0F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jc w:val="center"/>
        </w:trPr>
        <w:tc>
          <w:tcPr>
            <w:tcW w:w="3148" w:type="dxa"/>
            <w:vAlign w:val="center"/>
          </w:tcPr>
          <w:p w14:paraId="15C8FF0F">
            <w:pPr>
              <w:pStyle w:val="13"/>
              <w:spacing w:before="4"/>
              <w:ind w:left="430" w:right="422"/>
              <w:jc w:val="center"/>
              <w:rPr>
                <w:sz w:val="21"/>
                <w:szCs w:val="21"/>
              </w:rPr>
            </w:pPr>
            <w:r>
              <w:rPr>
                <w:sz w:val="21"/>
                <w:szCs w:val="21"/>
              </w:rPr>
              <w:t>配动触臂直径</w:t>
            </w:r>
          </w:p>
        </w:tc>
        <w:tc>
          <w:tcPr>
            <w:tcW w:w="1460" w:type="dxa"/>
            <w:vAlign w:val="center"/>
          </w:tcPr>
          <w:p w14:paraId="29ECE41B">
            <w:pPr>
              <w:pStyle w:val="13"/>
              <w:spacing w:before="4"/>
              <w:jc w:val="center"/>
              <w:rPr>
                <w:sz w:val="21"/>
                <w:szCs w:val="21"/>
              </w:rPr>
            </w:pPr>
            <w:r>
              <w:rPr>
                <w:sz w:val="21"/>
                <w:szCs w:val="21"/>
              </w:rPr>
              <w:t>φ42</w:t>
            </w:r>
          </w:p>
        </w:tc>
        <w:tc>
          <w:tcPr>
            <w:tcW w:w="1629" w:type="dxa"/>
            <w:vAlign w:val="center"/>
          </w:tcPr>
          <w:p w14:paraId="26CC7620">
            <w:pPr>
              <w:pStyle w:val="13"/>
              <w:spacing w:before="4"/>
              <w:ind w:right="209"/>
              <w:jc w:val="center"/>
              <w:rPr>
                <w:sz w:val="21"/>
                <w:szCs w:val="21"/>
              </w:rPr>
            </w:pPr>
            <w:r>
              <w:rPr>
                <w:sz w:val="21"/>
                <w:szCs w:val="21"/>
              </w:rPr>
              <w:t>φ72</w:t>
            </w:r>
          </w:p>
        </w:tc>
        <w:tc>
          <w:tcPr>
            <w:tcW w:w="1819" w:type="dxa"/>
            <w:vAlign w:val="center"/>
          </w:tcPr>
          <w:p w14:paraId="3FD4E00D">
            <w:pPr>
              <w:pStyle w:val="13"/>
              <w:spacing w:before="4"/>
              <w:ind w:right="318"/>
              <w:jc w:val="center"/>
              <w:rPr>
                <w:sz w:val="21"/>
                <w:szCs w:val="21"/>
              </w:rPr>
            </w:pPr>
            <w:r>
              <w:rPr>
                <w:sz w:val="21"/>
                <w:szCs w:val="21"/>
              </w:rPr>
              <w:t>φ102</w:t>
            </w:r>
          </w:p>
        </w:tc>
      </w:tr>
      <w:tr w14:paraId="04E9D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jc w:val="center"/>
        </w:trPr>
        <w:tc>
          <w:tcPr>
            <w:tcW w:w="3148" w:type="dxa"/>
            <w:vAlign w:val="center"/>
          </w:tcPr>
          <w:p w14:paraId="6CC0487F">
            <w:pPr>
              <w:pStyle w:val="13"/>
              <w:spacing w:before="1"/>
              <w:ind w:left="430" w:right="422"/>
              <w:jc w:val="center"/>
              <w:rPr>
                <w:sz w:val="21"/>
                <w:szCs w:val="21"/>
              </w:rPr>
            </w:pPr>
            <w:r>
              <w:rPr>
                <w:sz w:val="21"/>
                <w:szCs w:val="21"/>
              </w:rPr>
              <w:t>配静触臂直径</w:t>
            </w:r>
          </w:p>
        </w:tc>
        <w:tc>
          <w:tcPr>
            <w:tcW w:w="1460" w:type="dxa"/>
            <w:vAlign w:val="center"/>
          </w:tcPr>
          <w:p w14:paraId="4CED606A">
            <w:pPr>
              <w:pStyle w:val="13"/>
              <w:spacing w:before="1"/>
              <w:jc w:val="center"/>
              <w:rPr>
                <w:sz w:val="21"/>
                <w:szCs w:val="21"/>
              </w:rPr>
            </w:pPr>
            <w:r>
              <w:rPr>
                <w:sz w:val="21"/>
                <w:szCs w:val="21"/>
              </w:rPr>
              <w:t>φ49</w:t>
            </w:r>
          </w:p>
        </w:tc>
        <w:tc>
          <w:tcPr>
            <w:tcW w:w="1629" w:type="dxa"/>
            <w:vAlign w:val="center"/>
          </w:tcPr>
          <w:p w14:paraId="2B40B760">
            <w:pPr>
              <w:pStyle w:val="13"/>
              <w:spacing w:before="1"/>
              <w:ind w:right="209"/>
              <w:jc w:val="center"/>
              <w:rPr>
                <w:sz w:val="21"/>
                <w:szCs w:val="21"/>
              </w:rPr>
            </w:pPr>
            <w:r>
              <w:rPr>
                <w:sz w:val="21"/>
                <w:szCs w:val="21"/>
              </w:rPr>
              <w:t>φ79</w:t>
            </w:r>
          </w:p>
        </w:tc>
        <w:tc>
          <w:tcPr>
            <w:tcW w:w="1819" w:type="dxa"/>
            <w:vAlign w:val="center"/>
          </w:tcPr>
          <w:p w14:paraId="3E0A6C83">
            <w:pPr>
              <w:pStyle w:val="13"/>
              <w:spacing w:before="1"/>
              <w:ind w:right="318"/>
              <w:jc w:val="center"/>
              <w:rPr>
                <w:sz w:val="21"/>
                <w:szCs w:val="21"/>
              </w:rPr>
            </w:pPr>
            <w:r>
              <w:rPr>
                <w:sz w:val="21"/>
                <w:szCs w:val="21"/>
              </w:rPr>
              <w:t>φ109</w:t>
            </w:r>
          </w:p>
        </w:tc>
      </w:tr>
    </w:tbl>
    <w:p w14:paraId="1B289152">
      <w:pPr>
        <w:keepNext w:val="0"/>
        <w:keepLines w:val="0"/>
        <w:pageBreakBefore w:val="0"/>
        <w:widowControl w:val="0"/>
        <w:kinsoku/>
        <w:wordWrap/>
        <w:overflowPunct/>
        <w:topLinePunct w:val="0"/>
        <w:autoSpaceDE w:val="0"/>
        <w:autoSpaceDN w:val="0"/>
        <w:bidi w:val="0"/>
        <w:adjustRightInd/>
        <w:snapToGrid/>
        <w:spacing w:line="360" w:lineRule="auto"/>
        <w:ind w:right="0"/>
        <w:jc w:val="left"/>
        <w:textAlignment w:val="auto"/>
        <w:outlineLvl w:val="1"/>
        <w:rPr>
          <w:rFonts w:hint="eastAsia" w:asciiTheme="minorEastAsia" w:hAnsiTheme="minorEastAsia" w:eastAsiaTheme="minorEastAsia" w:cstheme="minorEastAsia"/>
          <w:b/>
          <w:bCs/>
          <w:sz w:val="24"/>
          <w:szCs w:val="24"/>
          <w:shd w:val="clear" w:color="auto" w:fill="FFFFFF"/>
          <w:lang w:val="en-US" w:eastAsia="zh-CN"/>
        </w:rPr>
      </w:pPr>
      <w:bookmarkStart w:id="48" w:name="_Toc29206"/>
      <w:r>
        <w:rPr>
          <w:rFonts w:hint="eastAsia" w:asciiTheme="minorEastAsia" w:hAnsiTheme="minorEastAsia" w:eastAsiaTheme="minorEastAsia" w:cstheme="minorEastAsia"/>
          <w:b/>
          <w:bCs/>
          <w:sz w:val="24"/>
          <w:szCs w:val="24"/>
          <w:shd w:val="clear" w:color="auto" w:fill="FFFFFF"/>
          <w:lang w:val="en-US" w:eastAsia="zh-CN"/>
        </w:rPr>
        <w:t>5.4 断路器静触头技术要求：</w:t>
      </w:r>
      <w:bookmarkEnd w:id="48"/>
      <w:r>
        <w:rPr>
          <w:rFonts w:hint="eastAsia" w:asciiTheme="minorEastAsia" w:hAnsiTheme="minorEastAsia" w:eastAsiaTheme="minorEastAsia" w:cstheme="minorEastAsia"/>
          <w:b/>
          <w:bCs/>
          <w:sz w:val="24"/>
          <w:szCs w:val="24"/>
          <w:shd w:val="clear" w:color="auto" w:fill="FFFFFF"/>
          <w:lang w:val="en-US" w:eastAsia="zh-CN"/>
        </w:rPr>
        <w:t xml:space="preserve"> </w:t>
      </w:r>
    </w:p>
    <w:p w14:paraId="7A07D8DB">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left="482" w:leftChars="0" w:right="0" w:rightChars="0"/>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额定电压：12kV</w:t>
      </w:r>
    </w:p>
    <w:p w14:paraId="70435DC2">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额定频率：50HZ </w:t>
      </w:r>
    </w:p>
    <w:p w14:paraId="5CDAC34C">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额定电流：1250A </w:t>
      </w:r>
    </w:p>
    <w:p w14:paraId="6CA42283">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材质要求：</w:t>
      </w:r>
    </w:p>
    <w:p w14:paraId="22FA86A6">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①静触头材料为 T2Y 铜；</w:t>
      </w:r>
    </w:p>
    <w:p w14:paraId="6AC48814">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②采用整体冷压成型工艺，固定接触面与静触头一体成型。</w:t>
      </w:r>
    </w:p>
    <w:p w14:paraId="08C1EB0D">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静触头表面要求：</w:t>
      </w:r>
    </w:p>
    <w:p w14:paraId="42753CEB">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①触头接触表面其粗糙度不高于Ra：3.2；</w:t>
      </w:r>
    </w:p>
    <w:p w14:paraId="563681F9">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②触头接触表面镀银层厚度为15-20μm</w:t>
      </w:r>
      <w:r>
        <w:rPr>
          <w:rFonts w:hint="eastAsia" w:asciiTheme="minorEastAsia" w:hAnsiTheme="minorEastAsia" w:eastAsiaTheme="minorEastAsia" w:cstheme="minorEastAsia"/>
          <w:sz w:val="24"/>
          <w:szCs w:val="24"/>
          <w:shd w:val="clear" w:color="auto" w:fill="FFFFFF"/>
          <w:lang w:eastAsia="zh-CN"/>
        </w:rPr>
        <w:t>，</w:t>
      </w:r>
      <w:r>
        <w:rPr>
          <w:rFonts w:hint="eastAsia" w:asciiTheme="minorEastAsia" w:hAnsiTheme="minorEastAsia" w:eastAsiaTheme="minorEastAsia" w:cstheme="minorEastAsia"/>
          <w:sz w:val="24"/>
          <w:szCs w:val="24"/>
          <w:shd w:val="clear" w:color="auto" w:fill="FFFFFF"/>
        </w:rPr>
        <w:t>其它表面镀银层厚度为不小于8μm；</w:t>
      </w:r>
    </w:p>
    <w:p w14:paraId="49B62A2A">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③静触头厚度大于 5mm.</w:t>
      </w:r>
    </w:p>
    <w:p w14:paraId="26AA2BDB">
      <w:pPr>
        <w:keepNext w:val="0"/>
        <w:keepLines w:val="0"/>
        <w:pageBreakBefore w:val="0"/>
        <w:widowControl w:val="0"/>
        <w:kinsoku/>
        <w:wordWrap/>
        <w:overflowPunct/>
        <w:topLinePunct w:val="0"/>
        <w:autoSpaceDE w:val="0"/>
        <w:autoSpaceDN w:val="0"/>
        <w:bidi w:val="0"/>
        <w:adjustRightInd/>
        <w:snapToGrid/>
        <w:spacing w:line="360" w:lineRule="auto"/>
        <w:ind w:right="0" w:firstLine="482"/>
        <w:jc w:val="left"/>
        <w:textAlignment w:val="auto"/>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常用规格的断路器静触头的结构参数及性能如下表：</w:t>
      </w:r>
    </w:p>
    <w:tbl>
      <w:tblPr>
        <w:tblStyle w:val="10"/>
        <w:tblW w:w="7647" w:type="dxa"/>
        <w:tblInd w:w="61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927"/>
        <w:gridCol w:w="1670"/>
        <w:gridCol w:w="1580"/>
        <w:gridCol w:w="1470"/>
      </w:tblGrid>
      <w:tr w14:paraId="64009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2927" w:type="dxa"/>
            <w:vAlign w:val="center"/>
          </w:tcPr>
          <w:p w14:paraId="458E2771">
            <w:pPr>
              <w:pStyle w:val="13"/>
              <w:spacing w:before="2"/>
              <w:ind w:left="425" w:right="419"/>
              <w:jc w:val="center"/>
              <w:rPr>
                <w:sz w:val="21"/>
                <w:szCs w:val="21"/>
              </w:rPr>
            </w:pPr>
            <w:r>
              <w:rPr>
                <w:sz w:val="21"/>
                <w:szCs w:val="21"/>
              </w:rPr>
              <w:t>技术参数、尺寸、规格</w:t>
            </w:r>
          </w:p>
        </w:tc>
        <w:tc>
          <w:tcPr>
            <w:tcW w:w="1670" w:type="dxa"/>
            <w:vAlign w:val="center"/>
          </w:tcPr>
          <w:p w14:paraId="30F6BEB6">
            <w:pPr>
              <w:pStyle w:val="13"/>
              <w:spacing w:before="2"/>
              <w:jc w:val="center"/>
              <w:rPr>
                <w:sz w:val="21"/>
                <w:szCs w:val="21"/>
              </w:rPr>
            </w:pPr>
            <w:r>
              <w:rPr>
                <w:sz w:val="21"/>
                <w:szCs w:val="21"/>
              </w:rPr>
              <w:t>1250</w:t>
            </w:r>
          </w:p>
        </w:tc>
        <w:tc>
          <w:tcPr>
            <w:tcW w:w="1580" w:type="dxa"/>
            <w:vAlign w:val="center"/>
          </w:tcPr>
          <w:p w14:paraId="171A8217">
            <w:pPr>
              <w:pStyle w:val="13"/>
              <w:spacing w:before="2"/>
              <w:ind w:left="365" w:right="362"/>
              <w:jc w:val="center"/>
              <w:rPr>
                <w:sz w:val="21"/>
                <w:szCs w:val="21"/>
              </w:rPr>
            </w:pPr>
            <w:r>
              <w:rPr>
                <w:sz w:val="21"/>
                <w:szCs w:val="21"/>
              </w:rPr>
              <w:t>2000</w:t>
            </w:r>
          </w:p>
        </w:tc>
        <w:tc>
          <w:tcPr>
            <w:tcW w:w="1470" w:type="dxa"/>
            <w:vAlign w:val="center"/>
          </w:tcPr>
          <w:p w14:paraId="6E13DFC2">
            <w:pPr>
              <w:pStyle w:val="13"/>
              <w:spacing w:before="2"/>
              <w:ind w:left="460" w:right="456"/>
              <w:jc w:val="center"/>
              <w:rPr>
                <w:sz w:val="21"/>
                <w:szCs w:val="21"/>
              </w:rPr>
            </w:pPr>
            <w:r>
              <w:rPr>
                <w:sz w:val="21"/>
                <w:szCs w:val="21"/>
              </w:rPr>
              <w:t>2500</w:t>
            </w:r>
          </w:p>
        </w:tc>
      </w:tr>
      <w:tr w14:paraId="6142C6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927" w:type="dxa"/>
            <w:vAlign w:val="center"/>
          </w:tcPr>
          <w:p w14:paraId="6E1469AC">
            <w:pPr>
              <w:pStyle w:val="13"/>
              <w:spacing w:before="2"/>
              <w:ind w:left="425" w:right="419"/>
              <w:jc w:val="center"/>
              <w:rPr>
                <w:sz w:val="21"/>
                <w:szCs w:val="21"/>
              </w:rPr>
            </w:pPr>
            <w:r>
              <w:rPr>
                <w:sz w:val="21"/>
                <w:szCs w:val="21"/>
              </w:rPr>
              <w:t>额定电流（A）</w:t>
            </w:r>
          </w:p>
        </w:tc>
        <w:tc>
          <w:tcPr>
            <w:tcW w:w="1670" w:type="dxa"/>
            <w:vAlign w:val="center"/>
          </w:tcPr>
          <w:p w14:paraId="032689AA">
            <w:pPr>
              <w:pStyle w:val="13"/>
              <w:spacing w:before="2"/>
              <w:jc w:val="center"/>
              <w:rPr>
                <w:sz w:val="21"/>
                <w:szCs w:val="21"/>
              </w:rPr>
            </w:pPr>
            <w:r>
              <w:rPr>
                <w:sz w:val="21"/>
                <w:szCs w:val="21"/>
              </w:rPr>
              <w:t>1250</w:t>
            </w:r>
          </w:p>
        </w:tc>
        <w:tc>
          <w:tcPr>
            <w:tcW w:w="1580" w:type="dxa"/>
            <w:vAlign w:val="center"/>
          </w:tcPr>
          <w:p w14:paraId="354ECEC4">
            <w:pPr>
              <w:pStyle w:val="13"/>
              <w:spacing w:before="2"/>
              <w:ind w:left="365" w:right="362"/>
              <w:jc w:val="center"/>
              <w:rPr>
                <w:sz w:val="21"/>
                <w:szCs w:val="21"/>
              </w:rPr>
            </w:pPr>
            <w:r>
              <w:rPr>
                <w:sz w:val="21"/>
                <w:szCs w:val="21"/>
              </w:rPr>
              <w:t>2000</w:t>
            </w:r>
          </w:p>
        </w:tc>
        <w:tc>
          <w:tcPr>
            <w:tcW w:w="1470" w:type="dxa"/>
            <w:vAlign w:val="center"/>
          </w:tcPr>
          <w:p w14:paraId="7CDAE05C">
            <w:pPr>
              <w:pStyle w:val="13"/>
              <w:spacing w:before="2"/>
              <w:ind w:left="460" w:right="456"/>
              <w:jc w:val="center"/>
              <w:rPr>
                <w:sz w:val="21"/>
                <w:szCs w:val="21"/>
              </w:rPr>
            </w:pPr>
            <w:r>
              <w:rPr>
                <w:sz w:val="21"/>
                <w:szCs w:val="21"/>
              </w:rPr>
              <w:t>2500</w:t>
            </w:r>
          </w:p>
        </w:tc>
      </w:tr>
      <w:tr w14:paraId="15BD08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2927" w:type="dxa"/>
            <w:vAlign w:val="center"/>
          </w:tcPr>
          <w:p w14:paraId="64647F5D">
            <w:pPr>
              <w:pStyle w:val="13"/>
              <w:spacing w:before="2"/>
              <w:ind w:left="423" w:right="419"/>
              <w:jc w:val="center"/>
              <w:rPr>
                <w:sz w:val="21"/>
                <w:szCs w:val="21"/>
              </w:rPr>
            </w:pPr>
            <w:r>
              <w:rPr>
                <w:sz w:val="21"/>
                <w:szCs w:val="21"/>
              </w:rPr>
              <w:t>静触头直径</w:t>
            </w:r>
          </w:p>
        </w:tc>
        <w:tc>
          <w:tcPr>
            <w:tcW w:w="1670" w:type="dxa"/>
            <w:vAlign w:val="center"/>
          </w:tcPr>
          <w:p w14:paraId="2315A3CD">
            <w:pPr>
              <w:pStyle w:val="13"/>
              <w:spacing w:before="2"/>
              <w:jc w:val="center"/>
              <w:rPr>
                <w:sz w:val="21"/>
                <w:szCs w:val="21"/>
              </w:rPr>
            </w:pPr>
            <w:r>
              <w:rPr>
                <w:sz w:val="21"/>
                <w:szCs w:val="21"/>
              </w:rPr>
              <w:t>Φ49</w:t>
            </w:r>
          </w:p>
        </w:tc>
        <w:tc>
          <w:tcPr>
            <w:tcW w:w="1580" w:type="dxa"/>
            <w:vAlign w:val="center"/>
          </w:tcPr>
          <w:p w14:paraId="1517F688">
            <w:pPr>
              <w:pStyle w:val="13"/>
              <w:spacing w:before="2"/>
              <w:ind w:left="366" w:right="361"/>
              <w:jc w:val="center"/>
              <w:rPr>
                <w:sz w:val="21"/>
                <w:szCs w:val="21"/>
              </w:rPr>
            </w:pPr>
            <w:r>
              <w:rPr>
                <w:sz w:val="21"/>
                <w:szCs w:val="21"/>
              </w:rPr>
              <w:t>φ79</w:t>
            </w:r>
          </w:p>
        </w:tc>
        <w:tc>
          <w:tcPr>
            <w:tcW w:w="1470" w:type="dxa"/>
            <w:vAlign w:val="center"/>
          </w:tcPr>
          <w:p w14:paraId="7EF5F06A">
            <w:pPr>
              <w:pStyle w:val="13"/>
              <w:spacing w:before="2"/>
              <w:ind w:left="462" w:right="456"/>
              <w:jc w:val="both"/>
              <w:rPr>
                <w:sz w:val="21"/>
                <w:szCs w:val="21"/>
              </w:rPr>
            </w:pPr>
            <w:r>
              <w:rPr>
                <w:sz w:val="21"/>
                <w:szCs w:val="21"/>
              </w:rPr>
              <w:t>φ109</w:t>
            </w:r>
          </w:p>
        </w:tc>
      </w:tr>
    </w:tbl>
    <w:p w14:paraId="4FEB0919">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49" w:name="_Toc419"/>
      <w:r>
        <w:rPr>
          <w:rFonts w:hint="eastAsia" w:asciiTheme="minorEastAsia" w:hAnsiTheme="minorEastAsia" w:eastAsiaTheme="minorEastAsia" w:cstheme="minorEastAsia"/>
          <w:b/>
          <w:bCs w:val="0"/>
          <w:sz w:val="24"/>
          <w:szCs w:val="24"/>
          <w:lang w:val="en-US" w:eastAsia="zh-CN"/>
        </w:rPr>
        <w:t>6、技术服务</w:t>
      </w:r>
      <w:bookmarkEnd w:id="43"/>
      <w:bookmarkEnd w:id="44"/>
      <w:bookmarkEnd w:id="49"/>
    </w:p>
    <w:p w14:paraId="672A8F50">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bookmarkStart w:id="50" w:name="_Toc13611"/>
      <w:bookmarkStart w:id="51" w:name="_Toc21818"/>
      <w:r>
        <w:rPr>
          <w:rFonts w:hint="eastAsia" w:asciiTheme="minorEastAsia" w:hAnsiTheme="minorEastAsia" w:eastAsiaTheme="minorEastAsia" w:cstheme="minorEastAsia"/>
          <w:sz w:val="24"/>
          <w:szCs w:val="24"/>
          <w:shd w:val="clear" w:color="auto" w:fill="FFFFFF"/>
          <w:lang w:val="en-US" w:eastAsia="zh-CN"/>
        </w:rPr>
        <w:t>6.1 乙方的职责和义务</w:t>
      </w:r>
      <w:bookmarkEnd w:id="50"/>
      <w:bookmarkEnd w:id="51"/>
    </w:p>
    <w:p w14:paraId="777AD784">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乙方派遣合格的、经验丰富、技术熟练和健康的技术人员到甲方履行安装指导、空载试验、有载试验和验收测试等有关技术服务和技术监督指导职责。乙方的现场技术服务人员到现场后需制定必要的计划书。乙方对其现场技术服务人员的一切行为负全部责任。</w:t>
      </w:r>
    </w:p>
    <w:p w14:paraId="2A4E8317">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6.1.2人员抵达或离开甲方的日期，由双方现场总代表根据工程的建设进度协商确定。</w:t>
      </w:r>
    </w:p>
    <w:p w14:paraId="6DE5A3F6">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6.1.3保证项目进度、设备性能、服务、监督及质量。</w:t>
      </w:r>
    </w:p>
    <w:p w14:paraId="447524C6">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6.1.4提供相应的资料及培训教材并对业主方进行现场培训。</w:t>
      </w:r>
    </w:p>
    <w:p w14:paraId="307FC3AC">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6.1.5乙方指导设备调试；调整的设定值，应该详细记录在竣工文件中。</w:t>
      </w:r>
    </w:p>
    <w:p w14:paraId="5D7BFD34">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6.1.6由于乙方的错误指导而造成的损坏、损失和延误，由乙方承担。</w:t>
      </w:r>
    </w:p>
    <w:p w14:paraId="20DB98DA">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6.1.9乙方技术人员须及时到达现场，按照工作计划，提供技术服务。</w:t>
      </w:r>
    </w:p>
    <w:p w14:paraId="1F00764E">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6.1.9主动配合甲方预验收人员的工作。</w:t>
      </w:r>
    </w:p>
    <w:p w14:paraId="7BC471E2">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6.1.9乙方人员现场服务的费用自理、人员到达现场后，必须遵守甲方工厂的各种管理制度。</w:t>
      </w:r>
    </w:p>
    <w:p w14:paraId="144EBC89">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6.1.10乙方现场技术服务人员应具有下列条件</w:t>
      </w:r>
    </w:p>
    <w:p w14:paraId="3E3C953E">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（1）遵守法纪，遵守现场各项规章、制度。</w:t>
      </w:r>
    </w:p>
    <w:p w14:paraId="424FBBAF">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（2）有责任心和事业心，按时到位。</w:t>
      </w:r>
    </w:p>
    <w:p w14:paraId="5D92AFCF">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（3）了解合同设备的设计，熟悉其结构，有相同或相近机组的现场工作经验，能够正确的进行现场指导。</w:t>
      </w:r>
    </w:p>
    <w:p w14:paraId="1AFF3C76">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（4）身体健康，适应现场工作条件。</w:t>
      </w:r>
    </w:p>
    <w:p w14:paraId="52A40762">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6.1.11乙方按甲方的要求，及时参加现场的设备安装、调试、功能考核、验收等工作，出席有关会议，及时处理技术和质量问题。</w:t>
      </w:r>
    </w:p>
    <w:p w14:paraId="6DADCF71">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6.1.12乙方技术服务人员应有权处理现场出现的一切技术、设备质量问题。如现场发生质量问题，乙方技术服务人员需在甲方规定的时间内处理解决。</w:t>
      </w:r>
    </w:p>
    <w:p w14:paraId="0A10316A">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6.1.13在供、需双方都在现场的情况下开箱验收。</w:t>
      </w:r>
    </w:p>
    <w:p w14:paraId="4D1953E3">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6.1.14在安装和调试前，乙方技术服务人员应向甲方及施工方作技术交底，讲解和示范将要进行的程序和方法，对重要工序，乙方技术服务人员需对施工人员进行确认和签证，否则甲方不能进行下一道工序。经乙方确认和签证的工序，如因乙方技术服务人员指导错误而发生的问题，乙方负全部责任。</w:t>
      </w:r>
    </w:p>
    <w:p w14:paraId="2148A07A">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bookmarkStart w:id="52" w:name="_Toc3653"/>
      <w:bookmarkStart w:id="53" w:name="_Toc28542"/>
      <w:r>
        <w:rPr>
          <w:rFonts w:hint="eastAsia" w:asciiTheme="minorEastAsia" w:hAnsiTheme="minorEastAsia" w:eastAsiaTheme="minorEastAsia" w:cstheme="minorEastAsia"/>
          <w:sz w:val="24"/>
          <w:szCs w:val="24"/>
          <w:shd w:val="clear" w:color="auto" w:fill="FFFFFF"/>
          <w:lang w:val="en-US" w:eastAsia="zh-CN"/>
        </w:rPr>
        <w:t>6.2甲方的职责和义务</w:t>
      </w:r>
      <w:bookmarkEnd w:id="52"/>
      <w:bookmarkEnd w:id="53"/>
    </w:p>
    <w:p w14:paraId="52F35659">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6.2.1甲方将派遣合格、有能力、身体健康的技术人员到乙方进行设备的预验收工作。甲方技术人员到达现场后应遵守乙方工厂的各种管理制度。</w:t>
      </w:r>
    </w:p>
    <w:p w14:paraId="77EE6411">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6.2.2甲方有权利要求乙方更换其工作人员。</w:t>
      </w:r>
    </w:p>
    <w:p w14:paraId="0A8EE91A">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6.2.3甲方依据乙方提供的图纸和检验项目对设备进行预验收，确认文件将作为费用支付依据。</w:t>
      </w:r>
    </w:p>
    <w:p w14:paraId="1BDDD9E9">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6.2.4由业主、供、需三方都在现场的情况下，设备现场验收。</w:t>
      </w:r>
    </w:p>
    <w:p w14:paraId="433AC449">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54" w:name="_Toc26786"/>
      <w:bookmarkStart w:id="55" w:name="_Toc2009"/>
      <w:bookmarkStart w:id="56" w:name="_Toc12955"/>
      <w:bookmarkStart w:id="57" w:name="_Toc3332"/>
      <w:bookmarkStart w:id="58" w:name="_Toc32434"/>
      <w:r>
        <w:rPr>
          <w:rFonts w:hint="eastAsia" w:asciiTheme="minorEastAsia" w:hAnsiTheme="minorEastAsia" w:eastAsiaTheme="minorEastAsia" w:cstheme="minorEastAsia"/>
          <w:b/>
          <w:bCs w:val="0"/>
          <w:sz w:val="24"/>
          <w:szCs w:val="24"/>
          <w:lang w:val="en-US" w:eastAsia="zh-CN"/>
        </w:rPr>
        <w:t>7、交货地点、交货日期</w:t>
      </w:r>
      <w:bookmarkEnd w:id="54"/>
      <w:bookmarkEnd w:id="55"/>
      <w:bookmarkEnd w:id="56"/>
      <w:bookmarkEnd w:id="57"/>
      <w:bookmarkEnd w:id="58"/>
    </w:p>
    <w:p w14:paraId="47DFB341">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7.1 设备交货地点：根据采购合同。</w:t>
      </w:r>
    </w:p>
    <w:p w14:paraId="4A3EDE77">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val="en-US" w:eastAsia="zh-CN"/>
        </w:rPr>
        <w:t>7.2 设备交货日期：根据采购合同。</w:t>
      </w:r>
    </w:p>
    <w:p w14:paraId="040402A3">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59" w:name="_Toc24768"/>
      <w:bookmarkStart w:id="60" w:name="_Toc22625"/>
      <w:bookmarkStart w:id="61" w:name="_Toc10009"/>
      <w:bookmarkStart w:id="62" w:name="_Toc17442"/>
      <w:bookmarkStart w:id="63" w:name="_Toc24591"/>
      <w:r>
        <w:rPr>
          <w:rFonts w:hint="eastAsia" w:asciiTheme="minorEastAsia" w:hAnsiTheme="minorEastAsia" w:eastAsiaTheme="minorEastAsia" w:cstheme="minorEastAsia"/>
          <w:b/>
          <w:bCs w:val="0"/>
          <w:sz w:val="24"/>
          <w:szCs w:val="24"/>
          <w:lang w:val="en-US" w:eastAsia="zh-CN"/>
        </w:rPr>
        <w:t>8、售后服务内容</w:t>
      </w:r>
      <w:bookmarkEnd w:id="59"/>
      <w:bookmarkEnd w:id="60"/>
      <w:bookmarkEnd w:id="61"/>
      <w:bookmarkEnd w:id="62"/>
      <w:bookmarkEnd w:id="63"/>
    </w:p>
    <w:p w14:paraId="769F2102">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应派合格的、经验丰富、技术熟练和健康的技术人员到甲方现场履行安装、调试和验收测试等内容的技术服务和技术指导、技术监督。</w:t>
      </w:r>
    </w:p>
    <w:p w14:paraId="4F636AE5">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.2在</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设备开始安装之前两个月，</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应向</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提交一份详细的技术人员派遣计划。</w:t>
      </w:r>
    </w:p>
    <w:p w14:paraId="40E3A818">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.3</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人员抵达或离开</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的日期，由</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现场总代表根据合同项目的建设进度协商确定。</w:t>
      </w:r>
    </w:p>
    <w:p w14:paraId="2BAE8C50">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.4在保证项目进度前提下，</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作为技术负责单位，应对合同项目范围内的工艺设计、设备性能、</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现场人员培训、技术服务、技术监督及最终产品质量负责。</w:t>
      </w:r>
    </w:p>
    <w:p w14:paraId="2AD26E26">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.5由</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指派的作为合同项目的现场代表，应对合同范围内的所有技术服务和技术监督负责；保证</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技术人员履行合同规定下的责任和义务；积极与</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现场代表合作，有效的组织和安排设备调试、冷试车、热试车和验收测试。</w:t>
      </w:r>
    </w:p>
    <w:p w14:paraId="64792B30">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.6</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人员应在</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现场总代表的领导下，开展技术服务和技术监督工作，及时处理其间的所有技术问题，并对合同范围内的设备性能和测试数据负责。</w:t>
      </w:r>
    </w:p>
    <w:p w14:paraId="3F1380C4">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技术人员应向</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技术人员详细解释有关设计数据、调试技术和方法，指导</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技术人员进行设备调试；调试过程中调整的设定值，</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技术人员应详细记录在竣工文件当中。</w:t>
      </w:r>
    </w:p>
    <w:p w14:paraId="51012F6B">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9乙方</w:t>
      </w:r>
      <w:r>
        <w:rPr>
          <w:rFonts w:hint="eastAsia" w:asciiTheme="minorEastAsia" w:hAnsiTheme="minorEastAsia" w:eastAsiaTheme="minorEastAsia" w:cstheme="minorEastAsia"/>
          <w:color w:val="auto"/>
          <w:sz w:val="24"/>
          <w:szCs w:val="24"/>
          <w:highlight w:val="none"/>
        </w:rPr>
        <w:t>技术人员应在</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合同项目现场，对</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的有关安装、调试、生产操作、设备维护等内容进行培训，以便使他们尽快熟悉合同项目的设备和技术。</w:t>
      </w:r>
    </w:p>
    <w:p w14:paraId="55BA9130">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.9由于</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人员的错误指导而造成的损坏和损失，将按照商务合同中的有关规定，由</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承担。</w:t>
      </w:r>
    </w:p>
    <w:p w14:paraId="7D68BA38">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.10质保期：设备质保期为1</w:t>
      </w: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个月</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设备正常投运之日起</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设备出现质量问题，接到通知后，4小时内给予答复，在24小时内赶到现场进行维修。</w:t>
      </w:r>
    </w:p>
    <w:p w14:paraId="77FDAC28">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.11</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技术人员抵达合同项目现场后，应按照现场工作计划表，在甲方的总体安排下工作。</w:t>
      </w:r>
    </w:p>
    <w:p w14:paraId="6F21766F">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.12</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技术人员在</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的正常工作时间为每周</w:t>
      </w:r>
      <w:r>
        <w:rPr>
          <w:rFonts w:hint="eastAsia" w:asciiTheme="minorEastAsia" w:hAnsiTheme="minorEastAsia" w:eastAsiaTheme="minorEastAsia" w:cstheme="minorEastAsia"/>
          <w:color w:val="auto"/>
          <w:sz w:val="24"/>
          <w:szCs w:val="24"/>
          <w:highlight w:val="none"/>
          <w:lang w:eastAsia="zh-CN"/>
        </w:rPr>
        <w:t>9</w:t>
      </w:r>
      <w:r>
        <w:rPr>
          <w:rFonts w:hint="eastAsia" w:asciiTheme="minorEastAsia" w:hAnsiTheme="minorEastAsia" w:eastAsiaTheme="minorEastAsia" w:cstheme="minorEastAsia"/>
          <w:color w:val="auto"/>
          <w:sz w:val="24"/>
          <w:szCs w:val="24"/>
          <w:highlight w:val="none"/>
        </w:rPr>
        <w:t>天，每天上、下班时间应按现场要求执行。</w:t>
      </w:r>
    </w:p>
    <w:p w14:paraId="56281EED">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.13</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有权利要求</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更换在</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合同项目现场工作期间不称职或连续生病达</w:t>
      </w:r>
      <w:r>
        <w:rPr>
          <w:rFonts w:hint="eastAsia" w:asciiTheme="minorEastAsia" w:hAnsiTheme="minorEastAsia" w:eastAsiaTheme="minorEastAsia" w:cstheme="minorEastAsia"/>
          <w:color w:val="auto"/>
          <w:sz w:val="24"/>
          <w:szCs w:val="24"/>
          <w:highlight w:val="none"/>
          <w:lang w:eastAsia="zh-CN"/>
        </w:rPr>
        <w:t>9</w:t>
      </w:r>
      <w:r>
        <w:rPr>
          <w:rFonts w:hint="eastAsia" w:asciiTheme="minorEastAsia" w:hAnsiTheme="minorEastAsia" w:eastAsiaTheme="minorEastAsia" w:cstheme="minorEastAsia"/>
          <w:color w:val="auto"/>
          <w:sz w:val="24"/>
          <w:szCs w:val="24"/>
          <w:highlight w:val="none"/>
        </w:rPr>
        <w:t>天的</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工作人员，由此造成的损失全部由</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承担。</w:t>
      </w:r>
    </w:p>
    <w:p w14:paraId="4986EB97">
      <w:pPr>
        <w:keepNext w:val="0"/>
        <w:keepLines w:val="0"/>
        <w:pageBreakBefore w:val="0"/>
        <w:widowControl w:val="0"/>
        <w:kinsoku/>
        <w:wordWrap/>
        <w:overflowPunct/>
        <w:topLinePunct w:val="0"/>
        <w:autoSpaceDE w:val="0"/>
        <w:autoSpaceDN w:val="0"/>
        <w:bidi w:val="0"/>
        <w:adjustRightInd/>
        <w:spacing w:line="360" w:lineRule="auto"/>
        <w:ind w:right="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14</w:t>
      </w:r>
      <w:bookmarkStart w:id="69" w:name="_GoBack"/>
      <w:bookmarkEnd w:id="69"/>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有义务配合本次工程下一道相关工序的安装调试，并对涉及到</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所提供的设备在内的安装调试进行协助调试，对因</w:t>
      </w:r>
      <w:r>
        <w:rPr>
          <w:rFonts w:hint="eastAsia" w:asciiTheme="minorEastAsia" w:hAnsiTheme="minorEastAsia" w:eastAsiaTheme="minorEastAsia" w:cstheme="minorEastAsia"/>
          <w:color w:val="auto"/>
          <w:sz w:val="24"/>
          <w:szCs w:val="24"/>
          <w:highlight w:val="none"/>
          <w:lang w:eastAsia="zh-CN"/>
        </w:rPr>
        <w:t>乙方</w:t>
      </w:r>
      <w:r>
        <w:rPr>
          <w:rFonts w:hint="eastAsia" w:asciiTheme="minorEastAsia" w:hAnsiTheme="minorEastAsia" w:eastAsiaTheme="minorEastAsia" w:cstheme="minorEastAsia"/>
          <w:color w:val="auto"/>
          <w:sz w:val="24"/>
          <w:szCs w:val="24"/>
          <w:highlight w:val="none"/>
        </w:rPr>
        <w:t>原因造成的相关工序安装调试的失败负责，并给予</w:t>
      </w:r>
      <w:r>
        <w:rPr>
          <w:rFonts w:hint="eastAsia" w:asciiTheme="minorEastAsia" w:hAnsiTheme="minorEastAsia" w:eastAsiaTheme="minorEastAsia" w:cstheme="minorEastAsia"/>
          <w:color w:val="auto"/>
          <w:sz w:val="24"/>
          <w:szCs w:val="24"/>
          <w:highlight w:val="none"/>
          <w:lang w:eastAsia="zh-CN"/>
        </w:rPr>
        <w:t>甲方</w:t>
      </w:r>
      <w:r>
        <w:rPr>
          <w:rFonts w:hint="eastAsia" w:asciiTheme="minorEastAsia" w:hAnsiTheme="minorEastAsia" w:eastAsiaTheme="minorEastAsia" w:cstheme="minorEastAsia"/>
          <w:color w:val="auto"/>
          <w:sz w:val="24"/>
          <w:szCs w:val="24"/>
          <w:highlight w:val="none"/>
        </w:rPr>
        <w:t>相应赔偿。</w:t>
      </w:r>
    </w:p>
    <w:p w14:paraId="1F17128B">
      <w:pPr>
        <w:keepNext w:val="0"/>
        <w:keepLines w:val="0"/>
        <w:pageBreakBefore w:val="0"/>
        <w:widowControl w:val="0"/>
        <w:kinsoku/>
        <w:wordWrap/>
        <w:overflowPunct/>
        <w:topLinePunct w:val="0"/>
        <w:autoSpaceDE w:val="0"/>
        <w:autoSpaceDN w:val="0"/>
        <w:bidi w:val="0"/>
        <w:adjustRightInd/>
        <w:snapToGrid w:val="0"/>
        <w:spacing w:before="0" w:line="360" w:lineRule="auto"/>
        <w:ind w:right="0"/>
        <w:jc w:val="left"/>
        <w:textAlignment w:val="auto"/>
        <w:outlineLvl w:val="0"/>
        <w:rPr>
          <w:rFonts w:hint="eastAsia" w:asciiTheme="minorEastAsia" w:hAnsiTheme="minorEastAsia" w:eastAsiaTheme="minorEastAsia" w:cstheme="minorEastAsia"/>
          <w:b/>
          <w:bCs w:val="0"/>
          <w:sz w:val="24"/>
          <w:szCs w:val="24"/>
          <w:lang w:val="en-US" w:eastAsia="zh-CN"/>
        </w:rPr>
      </w:pPr>
      <w:bookmarkStart w:id="64" w:name="_Toc3786"/>
      <w:bookmarkStart w:id="65" w:name="_Toc5288"/>
      <w:bookmarkStart w:id="66" w:name="_Toc21585"/>
      <w:bookmarkStart w:id="67" w:name="_Toc8055"/>
      <w:bookmarkStart w:id="68" w:name="_Toc19414"/>
      <w:r>
        <w:rPr>
          <w:rFonts w:hint="eastAsia" w:asciiTheme="minorEastAsia" w:hAnsiTheme="minorEastAsia" w:eastAsiaTheme="minorEastAsia" w:cstheme="minorEastAsia"/>
          <w:b/>
          <w:bCs w:val="0"/>
          <w:sz w:val="24"/>
          <w:szCs w:val="24"/>
          <w:lang w:val="en-US" w:eastAsia="zh-CN"/>
        </w:rPr>
        <w:t>9、其它</w:t>
      </w:r>
      <w:bookmarkEnd w:id="64"/>
      <w:bookmarkEnd w:id="65"/>
      <w:bookmarkEnd w:id="66"/>
      <w:bookmarkEnd w:id="67"/>
      <w:bookmarkEnd w:id="68"/>
    </w:p>
    <w:p w14:paraId="0712C974">
      <w:pPr>
        <w:pStyle w:val="14"/>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after="0" w:line="360" w:lineRule="auto"/>
        <w:ind w:right="0" w:rightChars="0"/>
        <w:jc w:val="both"/>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9.1 本技术规格书一式四份，甲方三份，乙方一份。</w:t>
      </w:r>
    </w:p>
    <w:p w14:paraId="00F4A487">
      <w:pPr>
        <w:pStyle w:val="14"/>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after="0" w:line="360" w:lineRule="auto"/>
        <w:ind w:right="0" w:rightChars="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9.2 本规格书内容经由甲乙双方于</w:t>
      </w:r>
      <w:r>
        <w:rPr>
          <w:rFonts w:hint="eastAsia" w:asciiTheme="minorEastAsia" w:hAnsiTheme="minorEastAsia" w:eastAsiaTheme="minorEastAsia" w:cstheme="minorEastAsia"/>
          <w:spacing w:val="-14"/>
          <w:sz w:val="24"/>
          <w:szCs w:val="24"/>
          <w:u w:val="single"/>
          <w:lang w:val="en-US" w:eastAsia="zh-CN"/>
        </w:rPr>
        <w:t xml:space="preserve">  2025  </w:t>
      </w:r>
      <w:r>
        <w:rPr>
          <w:rFonts w:hint="eastAsia" w:asciiTheme="minorEastAsia" w:hAnsiTheme="minorEastAsia" w:eastAsiaTheme="minorEastAsia" w:cstheme="minorEastAsia"/>
          <w:spacing w:val="-14"/>
          <w:sz w:val="24"/>
          <w:szCs w:val="24"/>
          <w:lang w:val="en-US" w:eastAsia="zh-CN"/>
        </w:rPr>
        <w:t>年</w:t>
      </w:r>
      <w:r>
        <w:rPr>
          <w:rFonts w:hint="eastAsia" w:asciiTheme="minorEastAsia" w:hAnsiTheme="minorEastAsia" w:eastAsiaTheme="minorEastAsia" w:cstheme="minorEastAsia"/>
          <w:spacing w:val="-14"/>
          <w:sz w:val="24"/>
          <w:szCs w:val="24"/>
          <w:u w:val="single"/>
          <w:lang w:val="en-US" w:eastAsia="zh-CN"/>
        </w:rPr>
        <w:t xml:space="preserve">     </w:t>
      </w:r>
      <w:r>
        <w:rPr>
          <w:rFonts w:hint="eastAsia" w:asciiTheme="minorEastAsia" w:hAnsiTheme="minorEastAsia" w:eastAsiaTheme="minorEastAsia" w:cstheme="minorEastAsia"/>
          <w:spacing w:val="-14"/>
          <w:sz w:val="24"/>
          <w:szCs w:val="24"/>
          <w:lang w:val="en-US" w:eastAsia="zh-CN"/>
        </w:rPr>
        <w:t>月</w:t>
      </w:r>
      <w:r>
        <w:rPr>
          <w:rFonts w:hint="eastAsia" w:asciiTheme="minorEastAsia" w:hAnsiTheme="minorEastAsia" w:eastAsiaTheme="minorEastAsia" w:cstheme="minorEastAsia"/>
          <w:spacing w:val="-14"/>
          <w:sz w:val="24"/>
          <w:szCs w:val="24"/>
          <w:u w:val="single"/>
          <w:lang w:val="en-US" w:eastAsia="zh-CN"/>
        </w:rPr>
        <w:t xml:space="preserve">     </w:t>
      </w:r>
      <w:r>
        <w:rPr>
          <w:rFonts w:hint="eastAsia" w:asciiTheme="minorEastAsia" w:hAnsiTheme="minorEastAsia" w:eastAsiaTheme="minorEastAsia" w:cstheme="minorEastAsia"/>
          <w:spacing w:val="-14"/>
          <w:sz w:val="24"/>
          <w:szCs w:val="24"/>
          <w:lang w:val="en-US" w:eastAsia="zh-CN"/>
        </w:rPr>
        <w:t>日</w:t>
      </w:r>
      <w:r>
        <w:rPr>
          <w:rFonts w:hint="eastAsia" w:asciiTheme="minorEastAsia" w:hAnsiTheme="minorEastAsia" w:eastAsiaTheme="minorEastAsia" w:cstheme="minorEastAsia"/>
          <w:spacing w:val="-14"/>
          <w:sz w:val="24"/>
          <w:szCs w:val="24"/>
          <w:u w:val="single"/>
          <w:lang w:val="en-US" w:eastAsia="zh-CN"/>
        </w:rPr>
        <w:t xml:space="preserve">     </w:t>
      </w:r>
      <w:r>
        <w:rPr>
          <w:rFonts w:hint="eastAsia" w:asciiTheme="minorEastAsia" w:hAnsiTheme="minorEastAsia" w:eastAsiaTheme="minorEastAsia" w:cstheme="minorEastAsia"/>
          <w:spacing w:val="-14"/>
          <w:sz w:val="24"/>
          <w:szCs w:val="24"/>
          <w:lang w:val="en-US" w:eastAsia="zh-CN"/>
        </w:rPr>
        <w:t>时至</w:t>
      </w:r>
      <w:r>
        <w:rPr>
          <w:rFonts w:hint="eastAsia" w:asciiTheme="minorEastAsia" w:hAnsiTheme="minorEastAsia" w:eastAsiaTheme="minorEastAsia" w:cstheme="minorEastAsia"/>
          <w:spacing w:val="-14"/>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时通过</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方式商定。</w:t>
      </w:r>
    </w:p>
    <w:p w14:paraId="7DD23143">
      <w:pPr>
        <w:pStyle w:val="14"/>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after="0" w:line="360" w:lineRule="auto"/>
        <w:ind w:right="0" w:rightChars="0"/>
        <w:jc w:val="both"/>
        <w:textAlignment w:val="auto"/>
        <w:rPr>
          <w:rFonts w:hint="eastAsia" w:asciiTheme="minorEastAsia" w:hAnsiTheme="minorEastAsia" w:eastAsiaTheme="minorEastAsia" w:cstheme="minorEastAsia"/>
          <w:color w:val="auto"/>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val="en-US" w:eastAsia="zh-CN" w:bidi="ar-SA"/>
        </w:rPr>
        <w:t>9.3 甲乙双方应当就签订本规格书的相关事宜保密，不得将签订主体、时间、内容等信息透露给其他第三人。</w:t>
      </w:r>
    </w:p>
    <w:p w14:paraId="04E426DA">
      <w:pPr>
        <w:pStyle w:val="14"/>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after="0" w:line="360" w:lineRule="auto"/>
        <w:ind w:right="0" w:rightChars="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9.4 若</w:t>
      </w:r>
      <w:r>
        <w:rPr>
          <w:rFonts w:hint="eastAsia" w:asciiTheme="minorEastAsia" w:hAnsiTheme="minorEastAsia" w:eastAsiaTheme="minorEastAsia" w:cstheme="minorEastAsia"/>
          <w:spacing w:val="-14"/>
          <w:sz w:val="24"/>
          <w:szCs w:val="24"/>
          <w:u w:val="single"/>
          <w:lang w:val="en-US" w:eastAsia="zh-CN"/>
        </w:rPr>
        <w:t xml:space="preserve">                            </w:t>
      </w:r>
      <w:r>
        <w:rPr>
          <w:rFonts w:hint="eastAsia" w:asciiTheme="minorEastAsia" w:hAnsiTheme="minorEastAsia" w:eastAsiaTheme="minorEastAsia" w:cstheme="minorEastAsia"/>
          <w:sz w:val="24"/>
          <w:szCs w:val="24"/>
          <w:lang w:val="en-US" w:eastAsia="zh-CN"/>
        </w:rPr>
        <w:t>单位不中标，本技术规格书自动失效，双方互不承担任何责任。</w:t>
      </w:r>
    </w:p>
    <w:p w14:paraId="0BE128FA">
      <w:pPr>
        <w:pStyle w:val="14"/>
        <w:keepNext w:val="0"/>
        <w:keepLines w:val="0"/>
        <w:pageBreakBefore w:val="0"/>
        <w:widowControl w:val="0"/>
        <w:numPr>
          <w:ilvl w:val="0"/>
          <w:numId w:val="0"/>
        </w:numPr>
        <w:tabs>
          <w:tab w:val="left" w:pos="1023"/>
        </w:tabs>
        <w:kinsoku/>
        <w:wordWrap/>
        <w:overflowPunct/>
        <w:topLinePunct w:val="0"/>
        <w:autoSpaceDE w:val="0"/>
        <w:autoSpaceDN w:val="0"/>
        <w:bidi w:val="0"/>
        <w:adjustRightInd/>
        <w:snapToGrid/>
        <w:spacing w:before="0" w:after="0" w:line="240" w:lineRule="auto"/>
        <w:ind w:right="356" w:rightChars="0"/>
        <w:jc w:val="both"/>
        <w:textAlignment w:val="auto"/>
        <w:rPr>
          <w:rFonts w:hint="eastAsia" w:asciiTheme="minorEastAsia" w:hAnsiTheme="minorEastAsia" w:eastAsiaTheme="minorEastAsia" w:cstheme="minorEastAsia"/>
          <w:bCs/>
          <w:kern w:val="2"/>
          <w:sz w:val="24"/>
          <w:szCs w:val="24"/>
          <w:lang w:val="en-US" w:eastAsia="zh-CN" w:bidi="ar-SA"/>
        </w:rPr>
      </w:pPr>
    </w:p>
    <w:p w14:paraId="2F0EE44A">
      <w:pPr>
        <w:pStyle w:val="15"/>
        <w:rPr>
          <w:rFonts w:hint="eastAsia"/>
        </w:rPr>
      </w:pPr>
    </w:p>
    <w:p w14:paraId="018920BF">
      <w:pPr>
        <w:keepNext/>
        <w:keepLines w:val="0"/>
        <w:pageBreakBefore w:val="0"/>
        <w:widowControl w:val="0"/>
        <w:tabs>
          <w:tab w:val="left" w:pos="1943"/>
        </w:tabs>
        <w:kinsoku/>
        <w:wordWrap/>
        <w:overflowPunct/>
        <w:autoSpaceDE/>
        <w:autoSpaceDN/>
        <w:bidi w:val="0"/>
        <w:spacing w:line="360" w:lineRule="auto"/>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sz w:val="30"/>
          <w:szCs w:val="30"/>
        </w:rPr>
        <w:t>甲方：</w:t>
      </w:r>
      <w:r>
        <w:rPr>
          <w:rFonts w:hint="eastAsia" w:ascii="仿宋_GB2312" w:hAnsi="仿宋_GB2312" w:eastAsia="仿宋_GB2312" w:cs="仿宋_GB2312"/>
          <w:b/>
          <w:bCs/>
          <w:sz w:val="30"/>
          <w:szCs w:val="30"/>
          <w:lang w:val="en-US" w:eastAsia="zh-CN"/>
        </w:rPr>
        <w:t>酒钢（集团）宏联自控     乙</w:t>
      </w:r>
      <w:r>
        <w:rPr>
          <w:rFonts w:hint="eastAsia" w:ascii="仿宋_GB2312" w:hAnsi="仿宋_GB2312" w:eastAsia="仿宋_GB2312" w:cs="仿宋_GB2312"/>
          <w:b/>
          <w:bCs/>
          <w:sz w:val="30"/>
          <w:szCs w:val="30"/>
        </w:rPr>
        <w:t>方：</w:t>
      </w:r>
    </w:p>
    <w:p w14:paraId="4C8E95FC">
      <w:pPr>
        <w:keepNext/>
        <w:keepLines w:val="0"/>
        <w:pageBreakBefore w:val="0"/>
        <w:widowControl w:val="0"/>
        <w:tabs>
          <w:tab w:val="left" w:pos="1943"/>
        </w:tabs>
        <w:kinsoku/>
        <w:wordWrap/>
        <w:overflowPunct/>
        <w:autoSpaceDE/>
        <w:autoSpaceDN/>
        <w:bidi w:val="0"/>
        <w:spacing w:line="360" w:lineRule="auto"/>
        <w:ind w:firstLine="602" w:firstLineChars="200"/>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rPr>
        <w:t xml:space="preserve">  </w:t>
      </w:r>
      <w:r>
        <w:rPr>
          <w:rFonts w:hint="eastAsia" w:ascii="仿宋_GB2312" w:hAnsi="仿宋_GB2312" w:eastAsia="仿宋_GB2312" w:cs="仿宋_GB2312"/>
          <w:b/>
          <w:bCs/>
          <w:sz w:val="30"/>
          <w:szCs w:val="30"/>
          <w:lang w:val="en-US" w:eastAsia="zh-CN"/>
        </w:rPr>
        <w:t>有限责任公司</w:t>
      </w:r>
    </w:p>
    <w:p w14:paraId="093DC160">
      <w:pPr>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甲方代表：</w:t>
      </w:r>
      <w:r>
        <w:rPr>
          <w:rFonts w:hint="eastAsia" w:ascii="仿宋_GB2312" w:hAnsi="仿宋_GB2312" w:eastAsia="仿宋_GB2312" w:cs="仿宋_GB2312"/>
          <w:b/>
          <w:sz w:val="30"/>
          <w:szCs w:val="30"/>
        </w:rPr>
        <w:tab/>
      </w:r>
      <w:r>
        <w:rPr>
          <w:rFonts w:hint="eastAsia" w:ascii="仿宋_GB2312" w:hAnsi="仿宋_GB2312" w:eastAsia="仿宋_GB2312" w:cs="仿宋_GB2312"/>
          <w:b/>
          <w:sz w:val="30"/>
          <w:szCs w:val="30"/>
          <w:lang w:val="en-US" w:eastAsia="zh-CN"/>
        </w:rPr>
        <w:t xml:space="preserve">                    乙</w:t>
      </w:r>
      <w:r>
        <w:rPr>
          <w:rFonts w:hint="eastAsia" w:ascii="仿宋_GB2312" w:hAnsi="仿宋_GB2312" w:eastAsia="仿宋_GB2312" w:cs="仿宋_GB2312"/>
          <w:b/>
          <w:sz w:val="30"/>
          <w:szCs w:val="30"/>
        </w:rPr>
        <w:t>方代表：</w:t>
      </w:r>
    </w:p>
    <w:p w14:paraId="6E6404B5">
      <w:pPr>
        <w:ind w:firstLine="301" w:firstLineChars="100"/>
        <w:rPr>
          <w:rFonts w:hint="eastAsia" w:ascii="仿宋_GB2312" w:hAnsi="仿宋_GB2312" w:eastAsia="仿宋_GB2312" w:cs="仿宋_GB2312"/>
          <w:b/>
          <w:sz w:val="30"/>
          <w:szCs w:val="30"/>
          <w:lang w:val="en-US" w:eastAsia="zh-CN"/>
        </w:rPr>
      </w:pPr>
    </w:p>
    <w:p w14:paraId="4E38DC1C">
      <w:pPr>
        <w:ind w:firstLine="301" w:firstLineChars="1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lang w:val="en-US" w:eastAsia="zh-CN"/>
        </w:rPr>
        <w:t>2025</w:t>
      </w:r>
      <w:r>
        <w:rPr>
          <w:rFonts w:hint="eastAsia" w:ascii="仿宋_GB2312" w:hAnsi="仿宋_GB2312" w:eastAsia="仿宋_GB2312" w:cs="仿宋_GB2312"/>
          <w:b/>
          <w:sz w:val="30"/>
          <w:szCs w:val="30"/>
        </w:rPr>
        <w:t>年</w:t>
      </w:r>
      <w:r>
        <w:rPr>
          <w:rFonts w:hint="eastAsia" w:ascii="仿宋_GB2312" w:hAnsi="仿宋_GB2312" w:eastAsia="仿宋_GB2312" w:cs="仿宋_GB2312"/>
          <w:b/>
          <w:sz w:val="30"/>
          <w:szCs w:val="30"/>
          <w:lang w:val="en-US" w:eastAsia="zh-CN"/>
        </w:rPr>
        <w:t xml:space="preserve">   </w:t>
      </w:r>
      <w:r>
        <w:rPr>
          <w:rFonts w:hint="eastAsia" w:ascii="仿宋_GB2312" w:hAnsi="仿宋_GB2312" w:eastAsia="仿宋_GB2312" w:cs="仿宋_GB2312"/>
          <w:b/>
          <w:sz w:val="30"/>
          <w:szCs w:val="30"/>
        </w:rPr>
        <w:t>月</w:t>
      </w:r>
      <w:r>
        <w:rPr>
          <w:rFonts w:hint="eastAsia" w:ascii="仿宋_GB2312" w:hAnsi="仿宋_GB2312" w:eastAsia="仿宋_GB2312" w:cs="仿宋_GB2312"/>
          <w:b/>
          <w:sz w:val="30"/>
          <w:szCs w:val="30"/>
          <w:lang w:val="en-US" w:eastAsia="zh-CN"/>
        </w:rPr>
        <w:t xml:space="preserve">   </w:t>
      </w:r>
      <w:r>
        <w:rPr>
          <w:rFonts w:hint="eastAsia" w:ascii="仿宋_GB2312" w:hAnsi="仿宋_GB2312" w:eastAsia="仿宋_GB2312" w:cs="仿宋_GB2312"/>
          <w:b/>
          <w:sz w:val="30"/>
          <w:szCs w:val="30"/>
        </w:rPr>
        <w:t>日</w:t>
      </w:r>
      <w:r>
        <w:rPr>
          <w:rFonts w:hint="eastAsia" w:ascii="仿宋_GB2312" w:hAnsi="仿宋_GB2312" w:eastAsia="仿宋_GB2312" w:cs="仿宋_GB2312"/>
          <w:b/>
          <w:sz w:val="30"/>
          <w:szCs w:val="30"/>
        </w:rPr>
        <w:tab/>
      </w:r>
      <w:r>
        <w:rPr>
          <w:rFonts w:hint="eastAsia" w:ascii="仿宋_GB2312" w:hAnsi="仿宋_GB2312" w:eastAsia="仿宋_GB2312" w:cs="仿宋_GB2312"/>
          <w:b/>
          <w:sz w:val="30"/>
          <w:szCs w:val="30"/>
        </w:rPr>
        <w:t xml:space="preserve">         </w:t>
      </w:r>
      <w:r>
        <w:rPr>
          <w:rFonts w:hint="eastAsia" w:ascii="仿宋_GB2312" w:hAnsi="仿宋_GB2312" w:eastAsia="仿宋_GB2312" w:cs="仿宋_GB2312"/>
          <w:b/>
          <w:sz w:val="30"/>
          <w:szCs w:val="30"/>
          <w:lang w:val="en-US" w:eastAsia="zh-CN"/>
        </w:rPr>
        <w:t xml:space="preserve">  </w:t>
      </w:r>
      <w:r>
        <w:rPr>
          <w:rFonts w:hint="eastAsia" w:ascii="仿宋_GB2312" w:hAnsi="仿宋_GB2312" w:eastAsia="仿宋_GB2312" w:cs="仿宋_GB2312"/>
          <w:b/>
          <w:sz w:val="30"/>
          <w:szCs w:val="30"/>
        </w:rPr>
        <w:t xml:space="preserve">   </w:t>
      </w:r>
      <w:r>
        <w:rPr>
          <w:rFonts w:hint="eastAsia" w:ascii="仿宋_GB2312" w:hAnsi="仿宋_GB2312" w:eastAsia="仿宋_GB2312" w:cs="仿宋_GB2312"/>
          <w:b/>
          <w:sz w:val="30"/>
          <w:szCs w:val="30"/>
          <w:lang w:val="en-US" w:eastAsia="zh-CN"/>
        </w:rPr>
        <w:t>2025</w:t>
      </w:r>
      <w:r>
        <w:rPr>
          <w:rFonts w:hint="eastAsia" w:ascii="仿宋_GB2312" w:hAnsi="仿宋_GB2312" w:eastAsia="仿宋_GB2312" w:cs="仿宋_GB2312"/>
          <w:b/>
          <w:sz w:val="30"/>
          <w:szCs w:val="30"/>
        </w:rPr>
        <w:t>年   月   日</w:t>
      </w:r>
    </w:p>
    <w:p w14:paraId="3B136E43">
      <w:pPr>
        <w:pStyle w:val="3"/>
        <w:keepNext w:val="0"/>
        <w:keepLines w:val="0"/>
        <w:pageBreakBefore w:val="0"/>
        <w:widowControl w:val="0"/>
        <w:kinsoku/>
        <w:wordWrap/>
        <w:overflowPunct/>
        <w:topLinePunct w:val="0"/>
        <w:autoSpaceDE w:val="0"/>
        <w:autoSpaceDN w:val="0"/>
        <w:bidi w:val="0"/>
        <w:adjustRightInd/>
        <w:spacing w:before="0" w:line="360" w:lineRule="auto"/>
        <w:ind w:left="0" w:leftChars="0" w:firstLine="0" w:firstLineChars="0"/>
        <w:textAlignment w:val="auto"/>
        <w:rPr>
          <w:rFonts w:hint="eastAsia" w:ascii="宋体" w:hAnsi="宋体" w:eastAsia="宋体" w:cs="宋体"/>
          <w:sz w:val="28"/>
          <w:szCs w:val="28"/>
          <w:lang w:val="en-US" w:eastAsia="zh-CN"/>
        </w:rPr>
      </w:pPr>
    </w:p>
    <w:sectPr>
      <w:footerReference r:id="rId5" w:type="default"/>
      <w:pgSz w:w="11906" w:h="16838"/>
      <w:pgMar w:top="1440" w:right="1701" w:bottom="1440"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ECA3E">
    <w:pPr>
      <w:pStyle w:val="3"/>
      <w:spacing w:line="14" w:lineRule="auto"/>
      <w:ind w:left="0"/>
      <w:jc w:val="both"/>
      <w:rPr>
        <w:rFonts w:hint="eastAsia" w:eastAsia="宋体"/>
        <w:lang w:eastAsia="zh-CN"/>
      </w:rPr>
    </w:pPr>
  </w:p>
  <w:p w14:paraId="30374086">
    <w:pPr>
      <w:pStyle w:val="9"/>
      <w:jc w:val="right"/>
      <w:rPr>
        <w:rFonts w:hint="eastAsia"/>
        <w:lang w:eastAsia="zh-CN"/>
      </w:rPr>
    </w:pPr>
  </w:p>
  <w:p w14:paraId="55DF87E3">
    <w:pPr>
      <w:pStyle w:val="3"/>
      <w:spacing w:line="14" w:lineRule="auto"/>
      <w:ind w:left="0"/>
      <w:jc w:val="both"/>
      <w:rPr>
        <w:rFonts w:hint="eastAsia" w:eastAsia="宋体"/>
        <w:lang w:eastAsia="zh-CN"/>
      </w:rPr>
    </w:pPr>
  </w:p>
  <w:p w14:paraId="5BE4762E">
    <w:pPr>
      <w:pStyle w:val="3"/>
      <w:spacing w:line="14" w:lineRule="auto"/>
      <w:ind w:left="0"/>
      <w:jc w:val="both"/>
      <w:rPr>
        <w:rFonts w:hint="eastAsia" w:eastAsia="宋体"/>
        <w:lang w:eastAsia="zh-CN"/>
      </w:rPr>
    </w:pPr>
  </w:p>
  <w:p w14:paraId="29614F42">
    <w:pPr>
      <w:pStyle w:val="3"/>
      <w:spacing w:line="14" w:lineRule="auto"/>
      <w:ind w:left="0"/>
      <w:jc w:val="both"/>
      <w:rPr>
        <w:rFonts w:hint="eastAsia" w:eastAsia="宋体"/>
        <w:lang w:eastAsia="zh-CN"/>
      </w:rPr>
    </w:pPr>
  </w:p>
  <w:p w14:paraId="76BEE6AA">
    <w:pPr>
      <w:pStyle w:val="3"/>
      <w:spacing w:line="14" w:lineRule="auto"/>
      <w:ind w:left="0"/>
      <w:jc w:val="both"/>
      <w:rPr>
        <w:rFonts w:hint="eastAsia" w:eastAsia="宋体"/>
        <w:lang w:eastAsia="zh-CN"/>
      </w:rPr>
    </w:pPr>
  </w:p>
  <w:p w14:paraId="723BA3B3">
    <w:pPr>
      <w:pStyle w:val="3"/>
      <w:spacing w:line="14" w:lineRule="auto"/>
      <w:ind w:left="0"/>
      <w:jc w:val="right"/>
    </w:pPr>
  </w:p>
  <w:p w14:paraId="7F145E16">
    <w:pPr>
      <w:pStyle w:val="3"/>
      <w:spacing w:line="14" w:lineRule="auto"/>
      <w:ind w:left="0"/>
      <w:jc w:val="right"/>
    </w:pPr>
  </w:p>
  <w:p w14:paraId="4CBDAC0B">
    <w:pPr>
      <w:pStyle w:val="3"/>
      <w:spacing w:line="14" w:lineRule="auto"/>
      <w:ind w:left="0"/>
      <w:jc w:val="right"/>
    </w:pPr>
  </w:p>
  <w:p w14:paraId="3DD26C97">
    <w:pPr>
      <w:pStyle w:val="3"/>
      <w:spacing w:line="14" w:lineRule="auto"/>
      <w:ind w:left="0"/>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5749AB"/>
    <w:rsid w:val="034B6875"/>
    <w:rsid w:val="0B2D073D"/>
    <w:rsid w:val="10FE6590"/>
    <w:rsid w:val="1AA7186D"/>
    <w:rsid w:val="24E24E2F"/>
    <w:rsid w:val="2A715DA9"/>
    <w:rsid w:val="5EE73715"/>
    <w:rsid w:val="658C57CE"/>
    <w:rsid w:val="689C2BB3"/>
    <w:rsid w:val="6F8E5B33"/>
    <w:rsid w:val="735749AB"/>
    <w:rsid w:val="767051FE"/>
    <w:rsid w:val="76D54218"/>
    <w:rsid w:val="7EF533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2">
    <w:name w:val="heading 1"/>
    <w:basedOn w:val="1"/>
    <w:next w:val="1"/>
    <w:qFormat/>
    <w:uiPriority w:val="0"/>
    <w:pPr>
      <w:keepNext/>
      <w:jc w:val="center"/>
      <w:outlineLvl w:val="0"/>
    </w:pPr>
    <w:rPr>
      <w:rFonts w:ascii="黑体" w:eastAsia="黑体"/>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408"/>
    </w:pPr>
    <w:rPr>
      <w:rFonts w:ascii="宋体" w:hAnsi="宋体" w:eastAsia="宋体" w:cs="宋体"/>
      <w:sz w:val="28"/>
      <w:szCs w:val="28"/>
    </w:rPr>
  </w:style>
  <w:style w:type="paragraph" w:styleId="4">
    <w:name w:val="toc 5"/>
    <w:basedOn w:val="1"/>
    <w:next w:val="1"/>
    <w:qFormat/>
    <w:uiPriority w:val="0"/>
    <w:pPr>
      <w:ind w:left="1120"/>
      <w:jc w:val="left"/>
    </w:pPr>
    <w:rPr>
      <w:sz w:val="18"/>
      <w:szCs w:val="18"/>
    </w:rPr>
  </w:style>
  <w:style w:type="paragraph" w:styleId="5">
    <w:name w:val="Date"/>
    <w:basedOn w:val="1"/>
    <w:next w:val="1"/>
    <w:qFormat/>
    <w:uiPriority w:val="0"/>
    <w:pPr>
      <w:ind w:left="100" w:leftChars="2500"/>
    </w:pPr>
    <w:rPr>
      <w:szCs w:val="20"/>
    </w:rPr>
  </w:style>
  <w:style w:type="paragraph" w:styleId="6">
    <w:name w:val="footer"/>
    <w:basedOn w:val="1"/>
    <w:next w:val="4"/>
    <w:unhideWhenUsed/>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szCs w:val="22"/>
    </w:rPr>
  </w:style>
  <w:style w:type="character" w:styleId="12">
    <w:name w:val="Strong"/>
    <w:basedOn w:val="11"/>
    <w:qFormat/>
    <w:uiPriority w:val="0"/>
    <w:rPr>
      <w:b/>
    </w:rPr>
  </w:style>
  <w:style w:type="paragraph" w:customStyle="1" w:styleId="13">
    <w:name w:val="Table Paragraph"/>
    <w:basedOn w:val="1"/>
    <w:qFormat/>
    <w:uiPriority w:val="1"/>
    <w:rPr>
      <w:rFonts w:ascii="宋体" w:hAnsi="宋体" w:eastAsia="宋体" w:cs="宋体"/>
    </w:rPr>
  </w:style>
  <w:style w:type="paragraph" w:styleId="14">
    <w:name w:val="List Paragraph"/>
    <w:basedOn w:val="1"/>
    <w:next w:val="1"/>
    <w:qFormat/>
    <w:uiPriority w:val="1"/>
    <w:pPr>
      <w:ind w:left="408" w:firstLine="560"/>
    </w:pPr>
    <w:rPr>
      <w:rFonts w:ascii="宋体" w:hAnsi="宋体" w:eastAsia="宋体" w:cs="宋体"/>
    </w:rPr>
  </w:style>
  <w:style w:type="paragraph" w:customStyle="1" w:styleId="15">
    <w:name w:val="四级标题"/>
    <w:basedOn w:val="5"/>
    <w:qFormat/>
    <w:uiPriority w:val="0"/>
    <w:rPr>
      <w:rFonts w:eastAsia="黑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2760</Words>
  <Characters>3370</Characters>
  <Lines>0</Lines>
  <Paragraphs>0</Paragraphs>
  <TotalTime>24</TotalTime>
  <ScaleCrop>false</ScaleCrop>
  <LinksUpToDate>false</LinksUpToDate>
  <CharactersWithSpaces>3560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2025-12-12T08:15:00Z</dcterms:created>
  <dc:creator>金刚</dc:creator>
  <cp:lastModifiedBy>林滨</cp:lastModifiedBy>
  <dcterms:modified xsi:type="dcterms:W3CDTF">2025-12-18T10:56:38Z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5D71BD24A8A644D5B351D323932C0186_13</vt:lpwstr>
  </property>
  <property fmtid="{D5CDD505-2E9C-101B-9397-08002B2CF9AE}" pid="4" name="KSOTemplateDocerSaveRecord">
    <vt:lpwstr>eyJoZGlkIjoiMDcwOGUzMDdiZWZlMGQ0YWM3YjVmOWU2YjQyNjI0NTMiLCJ1c2VySWQiOiIxNjQ5NTAwMzQyIn0=</vt:lpwstr>
  </property>
</Properties>
</file>