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98C8F"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不锈钢分公司硅钙钡线（低碳）技术规格书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(第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版)</w:t>
      </w:r>
    </w:p>
    <w:p w14:paraId="0C1B071B">
      <w:pPr>
        <w:spacing w:line="360" w:lineRule="auto"/>
        <w:rPr>
          <w:rFonts w:hint="eastAsia"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甲方：甘肃酒钢集团宏兴钢铁股份有限公司不锈钢分公司</w:t>
      </w:r>
    </w:p>
    <w:p w14:paraId="55B60FDE">
      <w:pPr>
        <w:tabs>
          <w:tab w:val="left" w:pos="6425"/>
        </w:tabs>
        <w:spacing w:line="360" w:lineRule="auto"/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乙方：</w:t>
      </w:r>
    </w:p>
    <w:p w14:paraId="75BEB56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本着平等互利的原则，经甲乙双方充分共同协商，就乙方供给甲方的不锈钢硅钙钡线（低碳）达成如下协议：</w:t>
      </w:r>
    </w:p>
    <w:p w14:paraId="1D0B7541">
      <w:pPr>
        <w:keepNext w:val="0"/>
        <w:keepLines w:val="0"/>
        <w:widowControl/>
        <w:suppressLineNumbers w:val="0"/>
        <w:spacing w:line="360" w:lineRule="auto"/>
        <w:jc w:val="left"/>
        <w:rPr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1 不锈钢冶炼基本条件</w:t>
      </w:r>
    </w:p>
    <w:p w14:paraId="20A5F456">
      <w:pPr>
        <w:spacing w:line="360" w:lineRule="auto"/>
        <w:rPr>
          <w:rFonts w:hint="eastAsia" w:cs="Times New Roman"/>
          <w:kern w:val="0"/>
          <w:sz w:val="24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1.1生产钢种：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eastAsia="zh-CN"/>
        </w:rPr>
        <w:t>超纯铁素体</w:t>
      </w:r>
      <w:r>
        <w:rPr>
          <w:rFonts w:hint="eastAsia" w:cs="Times New Roman"/>
          <w:kern w:val="0"/>
          <w:sz w:val="24"/>
          <w:highlight w:val="none"/>
          <w:lang w:eastAsia="zh-CN"/>
        </w:rPr>
        <w:t>、双相不锈钢、含钛奥氏体不锈钢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。</w:t>
      </w:r>
    </w:p>
    <w:p w14:paraId="58D0DBB8">
      <w:pPr>
        <w:spacing w:line="360" w:lineRule="auto"/>
        <w:rPr>
          <w:rFonts w:hint="eastAsia" w:ascii="Times New Roman" w:hAnsi="Times New Roman" w:cs="Times New Roman"/>
          <w:kern w:val="0"/>
          <w:sz w:val="24"/>
          <w:highlight w:val="none"/>
          <w:lang w:eastAsia="zh-CN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1.2作用：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精炼炉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eastAsia="zh-CN"/>
        </w:rPr>
        <w:t>钢水夹杂物变性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。</w:t>
      </w:r>
    </w:p>
    <w:p w14:paraId="02B75B87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1.3</w:t>
      </w:r>
      <w:r>
        <w:rPr>
          <w:rFonts w:hint="default"/>
          <w:highlight w:val="none"/>
          <w:lang w:val="en-US" w:eastAsia="zh-CN"/>
        </w:rPr>
        <w:t>适用条件</w:t>
      </w:r>
      <w:r>
        <w:rPr>
          <w:rFonts w:hint="eastAsia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钢水</w:t>
      </w:r>
      <w:r>
        <w:rPr>
          <w:rFonts w:hint="eastAsia" w:cs="Times New Roman"/>
          <w:kern w:val="0"/>
          <w:sz w:val="24"/>
          <w:highlight w:val="none"/>
          <w:lang w:eastAsia="zh-CN"/>
        </w:rPr>
        <w:t>温度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1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59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0℃-16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0℃，钢水中[O]含量＜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40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ppm。</w:t>
      </w:r>
    </w:p>
    <w:p w14:paraId="19037904">
      <w:pPr>
        <w:autoSpaceDE w:val="0"/>
        <w:autoSpaceDN w:val="0"/>
        <w:adjustRightInd w:val="0"/>
        <w:spacing w:line="360" w:lineRule="auto"/>
        <w:jc w:val="left"/>
        <w:rPr>
          <w:rFonts w:hint="eastAsia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2 使用要求</w:t>
      </w:r>
      <w:r>
        <w:rPr>
          <w:rFonts w:hint="eastAsia" w:cs="Times New Roman"/>
          <w:kern w:val="0"/>
          <w:sz w:val="24"/>
          <w:highlight w:val="none"/>
          <w:lang w:val="en-US" w:eastAsia="zh-CN"/>
        </w:rPr>
        <w:t>：</w:t>
      </w:r>
    </w:p>
    <w:p w14:paraId="5240E22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highlight w:val="none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喂线过程钢液面</w:t>
      </w:r>
      <w:r>
        <w:rPr>
          <w:rFonts w:hint="eastAsia" w:cs="Times New Roman"/>
          <w:kern w:val="0"/>
          <w:sz w:val="24"/>
          <w:highlight w:val="none"/>
          <w:lang w:val="en-US" w:eastAsia="zh-CN"/>
        </w:rPr>
        <w:t>无喷溅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。</w:t>
      </w:r>
    </w:p>
    <w:p w14:paraId="0FE3C15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</w:pPr>
      <w:r>
        <w:rPr>
          <w:rFonts w:hint="eastAsia" w:cs="Times New Roman"/>
          <w:b/>
          <w:bCs/>
          <w:kern w:val="0"/>
          <w:sz w:val="24"/>
          <w:highlight w:val="none"/>
          <w:lang w:val="en-US" w:eastAsia="zh-CN"/>
        </w:rPr>
        <w:t xml:space="preserve">3 </w:t>
      </w: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  <w:t>技术要求</w:t>
      </w:r>
    </w:p>
    <w:p w14:paraId="58A846E2"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 xml:space="preserve">.1 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所供货物规格为线直径13±1mm。</w:t>
      </w:r>
    </w:p>
    <w:p w14:paraId="19E48CAD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 xml:space="preserve">.2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线盘规格：内抽式，外径≤1200mm,内径≥700mm,宽度≤900mm。</w:t>
      </w:r>
    </w:p>
    <w:p w14:paraId="4E13055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</w:pPr>
      <w:r>
        <w:rPr>
          <w:rFonts w:hint="eastAsia" w:cs="Times New Roman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包装要求：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必须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eastAsia="zh-CN"/>
        </w:rPr>
        <w:t>附带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有相应的产品名称、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eastAsia="zh-CN"/>
        </w:rPr>
        <w:t>产品厂家、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生产日期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eastAsia="zh-CN"/>
        </w:rPr>
        <w:t>批号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、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eastAsia="zh-CN"/>
        </w:rPr>
        <w:t>主要理化参数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等信息名牌</w:t>
      </w:r>
      <w:r>
        <w:rPr>
          <w:rFonts w:hint="eastAsia" w:cs="Times New Roman"/>
          <w:color w:val="000000"/>
          <w:kern w:val="0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线卷外层必须包覆保护膜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。</w:t>
      </w:r>
    </w:p>
    <w:p w14:paraId="1E575932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</w:pPr>
      <w:r>
        <w:rPr>
          <w:rFonts w:hint="eastAsia" w:cs="Times New Roman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zh-CN"/>
        </w:rPr>
        <w:t>外观质量标准：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表面光洁</w:t>
      </w:r>
      <w:r>
        <w:rPr>
          <w:rFonts w:hint="eastAsia" w:cs="Times New Roman"/>
          <w:color w:val="000000"/>
          <w:kern w:val="0"/>
          <w:sz w:val="24"/>
          <w:highlight w:val="none"/>
          <w:lang w:val="en-US" w:eastAsia="zh-CN"/>
        </w:rPr>
        <w:t>无油污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，接头不超过2个，线架焊接牢固。</w:t>
      </w:r>
    </w:p>
    <w:p w14:paraId="470C8285"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cs="Times New Roman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>.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技术指标要求：</w:t>
      </w:r>
    </w:p>
    <w:tbl>
      <w:tblPr>
        <w:tblStyle w:val="7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95"/>
        <w:gridCol w:w="915"/>
        <w:gridCol w:w="1020"/>
        <w:gridCol w:w="977"/>
        <w:gridCol w:w="930"/>
        <w:gridCol w:w="930"/>
        <w:gridCol w:w="1110"/>
        <w:gridCol w:w="930"/>
        <w:gridCol w:w="825"/>
      </w:tblGrid>
      <w:tr w14:paraId="78C2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78" w:type="dxa"/>
            <w:noWrap w:val="0"/>
            <w:vAlign w:val="center"/>
          </w:tcPr>
          <w:p w14:paraId="26127B2D"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型号</w:t>
            </w:r>
          </w:p>
        </w:tc>
        <w:tc>
          <w:tcPr>
            <w:tcW w:w="995" w:type="dxa"/>
            <w:noWrap w:val="0"/>
            <w:vAlign w:val="center"/>
          </w:tcPr>
          <w:p w14:paraId="46ADE715"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芯粉重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g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/m</w:t>
            </w:r>
          </w:p>
        </w:tc>
        <w:tc>
          <w:tcPr>
            <w:tcW w:w="915" w:type="dxa"/>
            <w:noWrap w:val="0"/>
            <w:vAlign w:val="center"/>
          </w:tcPr>
          <w:p w14:paraId="6407827B"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Ca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含量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1020" w:type="dxa"/>
            <w:noWrap w:val="0"/>
            <w:vAlign w:val="center"/>
          </w:tcPr>
          <w:p w14:paraId="16C0A4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Ba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含量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977" w:type="dxa"/>
            <w:noWrap w:val="0"/>
            <w:vAlign w:val="center"/>
          </w:tcPr>
          <w:p w14:paraId="791A76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Al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含量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930" w:type="dxa"/>
            <w:noWrap w:val="0"/>
            <w:vAlign w:val="center"/>
          </w:tcPr>
          <w:p w14:paraId="12762E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含量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930" w:type="dxa"/>
            <w:noWrap w:val="0"/>
            <w:vAlign w:val="center"/>
          </w:tcPr>
          <w:p w14:paraId="3802C2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含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63869F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Si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含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930" w:type="dxa"/>
            <w:noWrap w:val="0"/>
            <w:vAlign w:val="center"/>
          </w:tcPr>
          <w:p w14:paraId="56E881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含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量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825" w:type="dxa"/>
            <w:noWrap w:val="0"/>
            <w:vAlign w:val="center"/>
          </w:tcPr>
          <w:p w14:paraId="2E02E3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水分%</w:t>
            </w:r>
          </w:p>
        </w:tc>
      </w:tr>
      <w:tr w14:paraId="0A3A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78" w:type="dxa"/>
            <w:noWrap w:val="0"/>
            <w:vAlign w:val="center"/>
          </w:tcPr>
          <w:p w14:paraId="3D9A0400"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13φ</w:t>
            </w:r>
          </w:p>
        </w:tc>
        <w:tc>
          <w:tcPr>
            <w:tcW w:w="995" w:type="dxa"/>
            <w:noWrap w:val="0"/>
            <w:vAlign w:val="center"/>
          </w:tcPr>
          <w:p w14:paraId="017E71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220</w:t>
            </w:r>
          </w:p>
        </w:tc>
        <w:tc>
          <w:tcPr>
            <w:tcW w:w="915" w:type="dxa"/>
            <w:noWrap w:val="0"/>
            <w:vAlign w:val="center"/>
          </w:tcPr>
          <w:p w14:paraId="282314CB">
            <w:pPr>
              <w:keepNext w:val="0"/>
              <w:keepLines w:val="0"/>
              <w:widowControl/>
              <w:suppressLineNumbers w:val="0"/>
              <w:spacing w:line="360" w:lineRule="auto"/>
              <w:ind w:firstLine="200" w:firstLineChars="10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 w14:paraId="12B614F7">
            <w:pPr>
              <w:widowControl/>
              <w:tabs>
                <w:tab w:val="left" w:pos="225"/>
                <w:tab w:val="center" w:pos="508"/>
              </w:tabs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noWrap w:val="0"/>
            <w:vAlign w:val="center"/>
          </w:tcPr>
          <w:p w14:paraId="6140DEE7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2.5</w:t>
            </w:r>
          </w:p>
        </w:tc>
        <w:tc>
          <w:tcPr>
            <w:tcW w:w="930" w:type="dxa"/>
            <w:noWrap w:val="0"/>
            <w:vAlign w:val="center"/>
          </w:tcPr>
          <w:p w14:paraId="67D4B465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0.08</w:t>
            </w:r>
          </w:p>
        </w:tc>
        <w:tc>
          <w:tcPr>
            <w:tcW w:w="930" w:type="dxa"/>
            <w:noWrap w:val="0"/>
            <w:vAlign w:val="center"/>
          </w:tcPr>
          <w:p w14:paraId="4148CA14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0.1</w:t>
            </w:r>
          </w:p>
        </w:tc>
        <w:tc>
          <w:tcPr>
            <w:tcW w:w="1110" w:type="dxa"/>
            <w:noWrap w:val="0"/>
            <w:vAlign w:val="center"/>
          </w:tcPr>
          <w:p w14:paraId="25A19534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 w:val="0"/>
            <w:vAlign w:val="center"/>
          </w:tcPr>
          <w:p w14:paraId="629763C9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0.3</w:t>
            </w:r>
          </w:p>
        </w:tc>
        <w:tc>
          <w:tcPr>
            <w:tcW w:w="825" w:type="dxa"/>
            <w:noWrap w:val="0"/>
            <w:vAlign w:val="center"/>
          </w:tcPr>
          <w:p w14:paraId="289288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≤0.5</w:t>
            </w:r>
          </w:p>
        </w:tc>
      </w:tr>
    </w:tbl>
    <w:p w14:paraId="4CB2D45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cs="Times New Roman"/>
          <w:kern w:val="0"/>
          <w:sz w:val="24"/>
          <w:highlight w:val="none"/>
          <w:lang w:val="en-US" w:eastAsia="zh-CN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注：</w:t>
      </w:r>
      <w:r>
        <w:rPr>
          <w:rFonts w:hint="eastAsia" w:ascii="Times New Roman" w:hAnsi="Times New Roman" w:cs="Times New Roman"/>
          <w:color w:val="000000"/>
          <w:kern w:val="0"/>
          <w:sz w:val="24"/>
          <w:highlight w:val="none"/>
          <w:lang w:val="en-US" w:eastAsia="zh-CN"/>
        </w:rPr>
        <w:t>As+Cu+Sn+Zn+Pb+Bi&lt;0.036 %</w:t>
      </w:r>
    </w:p>
    <w:p w14:paraId="674CE50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highlight w:val="none"/>
        </w:rPr>
      </w:pPr>
      <w:r>
        <w:rPr>
          <w:rFonts w:hint="eastAsia" w:cs="Times New Roman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每批次到货，产品应提供相应质保书。</w:t>
      </w:r>
    </w:p>
    <w:p w14:paraId="368951D0">
      <w:pPr>
        <w:keepNext w:val="0"/>
        <w:keepLines w:val="0"/>
        <w:widowControl/>
        <w:suppressLineNumbers w:val="0"/>
        <w:spacing w:line="360" w:lineRule="auto"/>
        <w:jc w:val="left"/>
        <w:rPr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4 技术服务 </w:t>
      </w:r>
    </w:p>
    <w:p w14:paraId="49ECFDD0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kern w:val="0"/>
          <w:sz w:val="24"/>
          <w:highlight w:val="none"/>
        </w:rPr>
        <w:t>根据产品的使用情况，乙方应进行技术分析及产品质量和工艺措施的持续改进。</w:t>
      </w:r>
    </w:p>
    <w:p w14:paraId="5D22EDFC">
      <w:pPr>
        <w:keepNext w:val="0"/>
        <w:keepLines w:val="0"/>
        <w:widowControl/>
        <w:suppressLineNumbers w:val="0"/>
        <w:spacing w:line="360" w:lineRule="auto"/>
        <w:jc w:val="left"/>
        <w:rPr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5 产品保证值 </w:t>
      </w:r>
    </w:p>
    <w:p w14:paraId="2D632B59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 xml:space="preserve"> 产品保质期：一年</w:t>
      </w:r>
    </w:p>
    <w:p w14:paraId="4076DA2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</w:pPr>
      <w:r>
        <w:rPr>
          <w:rFonts w:hint="eastAsia" w:cs="Times New Roman"/>
          <w:b/>
          <w:bCs/>
          <w:kern w:val="0"/>
          <w:sz w:val="24"/>
          <w:highlight w:val="none"/>
          <w:lang w:val="en-US" w:eastAsia="zh-CN"/>
        </w:rPr>
        <w:t xml:space="preserve">6 </w:t>
      </w: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  <w:t>考核条款</w:t>
      </w:r>
    </w:p>
    <w:p w14:paraId="3509B8DD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当Ca含量&lt;7%时需要评审是否具备使用条件，经作业区和技术质量室评审后具备使用条件则每低1%，基准价降价 500元/吨。</w:t>
      </w:r>
    </w:p>
    <w:p w14:paraId="5E7445D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当Ba含量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＜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10%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每低0.5%，基准价降价500元/吨。</w:t>
      </w:r>
    </w:p>
    <w:p w14:paraId="22681CA9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当Al含量＞2.5%时需要评审是否具备使用条件，经作业区和技术质量室评审后具备使用条件则每增加0.1%，基准价降价200元/吨。</w:t>
      </w:r>
    </w:p>
    <w:p w14:paraId="2DD77C5E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P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含量&gt;0.08%时需要评审是否具备使用条件，经作业区和技术质量室评审后具备使用条件则每增加0.01%，基准价降价80元/吨。</w:t>
      </w:r>
    </w:p>
    <w:p w14:paraId="0019AEF9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S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含量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&gt;0.10%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时需要评审是否具备使用条件，经作业区和技术质量室评审后具备使用条件则每增加0.01%，基准价降价80元/吨。</w:t>
      </w:r>
    </w:p>
    <w:p w14:paraId="68D18E4E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当C含量（0.3＜C≤0.35%）时每增加0.01%，基准价降价60元/吨。</w:t>
      </w:r>
    </w:p>
    <w:p w14:paraId="5D153741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当C含量＞0.35%时需要评审是否具备使用条件，经作业区和技术质量室评审后具备使用条件则每增加0.01%，基准价降价100元/吨。</w:t>
      </w:r>
    </w:p>
    <w:p w14:paraId="7B1906E9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当Si含量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＜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40%时需要评审是否具备使用条件，经作业区和技术质量室评审后具备使用条件则每降低1%，基准价降价2%。</w:t>
      </w:r>
    </w:p>
    <w:p w14:paraId="5B2F1BCD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当芯粉重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＜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220</w:t>
      </w:r>
      <w:r>
        <w:rPr>
          <w:rFonts w:hint="eastAsia" w:ascii="Times New Roman" w:hAnsi="Times New Roman" w:cs="Times New Roman"/>
          <w:kern w:val="0"/>
          <w:sz w:val="24"/>
          <w:highlight w:val="none"/>
        </w:rPr>
        <w:t>g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/>
        </w:rPr>
        <w:t>/m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时需要评审是否具备使用条件，经作业区和技术质量室评审后具备使用条件则每低5g/m，基准价降价200元/吨。</w:t>
      </w:r>
    </w:p>
    <w:p w14:paraId="1EFFFC9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当水分＞</w:t>
      </w:r>
      <w:r>
        <w:rPr>
          <w:rFonts w:hint="default" w:ascii="Times New Roman" w:hAnsi="Times New Roman" w:cs="Times New Roman"/>
          <w:kern w:val="0"/>
          <w:sz w:val="24"/>
          <w:highlight w:val="none"/>
          <w:lang w:val="en-US" w:eastAsia="zh-CN"/>
        </w:rPr>
        <w:t>0.5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%时需要评审是否具备使用条件，经作业区和技术质量室评审后具备使用条件则每增加1%，扣量2%结算。</w:t>
      </w:r>
    </w:p>
    <w:p w14:paraId="024F8518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当As+Cu+Sn+Zn+Pb+Bi&lt;0.036 %时需要评审是否具备使用条件，经作业区和技术质量室评审进行降价或不予采购。</w:t>
      </w:r>
    </w:p>
    <w:p w14:paraId="7CCFD167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highlight w:val="none"/>
          <w:lang w:eastAsia="zh-CN"/>
        </w:rPr>
        <w:t>备注：指标超出范围后经</w:t>
      </w:r>
      <w:r>
        <w:rPr>
          <w:rFonts w:hint="eastAsia" w:ascii="Times New Roman" w:hAnsi="Times New Roman" w:cs="Times New Roman"/>
          <w:kern w:val="0"/>
          <w:sz w:val="24"/>
          <w:highlight w:val="none"/>
          <w:lang w:val="en-US" w:eastAsia="zh-CN"/>
        </w:rPr>
        <w:t>作业区和技术质量室评审后不具备条件的则进行退货处理，同时造成的生产计划兑现责任由乙方承担。</w:t>
      </w:r>
    </w:p>
    <w:p w14:paraId="6C1A953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</w:pPr>
      <w:r>
        <w:rPr>
          <w:rFonts w:hint="eastAsia" w:cs="Times New Roman"/>
          <w:b/>
          <w:bCs/>
          <w:kern w:val="0"/>
          <w:sz w:val="24"/>
          <w:highlight w:val="none"/>
          <w:lang w:val="en-US" w:eastAsia="zh-CN"/>
        </w:rPr>
        <w:t xml:space="preserve">7  </w:t>
      </w: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  <w:t>其他</w:t>
      </w:r>
    </w:p>
    <w:p w14:paraId="06ACACD0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此协议一式三份，甲乙双方各保留一份，一份作为相应采购合同附件，自签定之日生效。</w:t>
      </w:r>
      <w:bookmarkStart w:id="0" w:name="_GoBack"/>
      <w:bookmarkEnd w:id="0"/>
    </w:p>
    <w:p w14:paraId="5C7E1BC9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本协议内容经由甲乙双方于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时-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时通过电话交流方式商定。</w:t>
      </w:r>
    </w:p>
    <w:p w14:paraId="7C4FBF38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甲乙双方应当就签订本协议的相关事宜保密，不得将签订主体、时间、内容等信息透露给其他第三人。</w:t>
      </w:r>
    </w:p>
    <w:p w14:paraId="76E52DC0"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甲方：酒钢集团宏兴钢铁股份有限公司</w:t>
      </w:r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tab/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乙方：</w:t>
      </w:r>
    </w:p>
    <w:p w14:paraId="4F8605DC">
      <w:pPr>
        <w:spacing w:line="360" w:lineRule="auto"/>
        <w:ind w:firstLine="840" w:firstLineChars="300"/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不锈钢分公司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 xml:space="preserve">             </w:t>
      </w:r>
    </w:p>
    <w:p w14:paraId="45D32442">
      <w:pPr>
        <w:spacing w:line="360" w:lineRule="auto"/>
        <w:ind w:firstLine="5883" w:firstLineChars="2100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 xml:space="preserve">    </w:t>
      </w:r>
    </w:p>
    <w:p w14:paraId="799C91BB">
      <w:pPr>
        <w:spacing w:line="360" w:lineRule="auto"/>
        <w:ind w:firstLine="140" w:firstLineChars="50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代表：                             代表：</w:t>
      </w:r>
    </w:p>
    <w:p w14:paraId="14170DF6">
      <w:pPr>
        <w:pStyle w:val="2"/>
        <w:spacing w:line="360" w:lineRule="auto"/>
        <w:rPr>
          <w:rFonts w:hint="eastAsia"/>
          <w:highlight w:val="none"/>
        </w:rPr>
      </w:pPr>
    </w:p>
    <w:p w14:paraId="53B6F45A">
      <w:pPr>
        <w:spacing w:line="360" w:lineRule="auto"/>
        <w:ind w:firstLine="140" w:firstLineChars="50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日期：                             日期：</w:t>
      </w:r>
    </w:p>
    <w:p w14:paraId="7EB07A25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</w:p>
    <w:p w14:paraId="48FFEABC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</w:p>
    <w:p w14:paraId="4F5F4271">
      <w:pPr>
        <w:spacing w:line="360" w:lineRule="auto"/>
        <w:rPr>
          <w:highlight w:val="none"/>
        </w:rPr>
      </w:pPr>
    </w:p>
    <w:sectPr>
      <w:headerReference r:id="rId5" w:type="default"/>
      <w:pgSz w:w="11906" w:h="16839"/>
      <w:pgMar w:top="1184" w:right="963" w:bottom="0" w:left="13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15A5B">
    <w:pPr>
      <w:pStyle w:val="5"/>
      <w:rPr>
        <w:rFonts w:hint="eastAsia" w:eastAsia="宋体"/>
        <w:u w:val="single"/>
        <w:lang w:eastAsia="zh-CN"/>
      </w:rPr>
    </w:pPr>
  </w:p>
  <w:p w14:paraId="399B0FB3">
    <w:pPr>
      <w:pStyle w:val="5"/>
      <w:rPr>
        <w:rFonts w:hint="eastAsia" w:eastAsia="宋体"/>
        <w:u w:val="single"/>
        <w:lang w:eastAsia="zh-CN"/>
      </w:rPr>
    </w:pPr>
  </w:p>
  <w:p w14:paraId="1EA6FF68">
    <w:pPr>
      <w:pStyle w:val="5"/>
      <w:rPr>
        <w:rFonts w:hint="default" w:eastAsia="宋体"/>
        <w:u w:val="single"/>
        <w:lang w:val="en-US" w:eastAsia="zh-CN"/>
      </w:rPr>
    </w:pPr>
    <w:r>
      <w:rPr>
        <w:rFonts w:hint="eastAsia" w:eastAsia="宋体"/>
        <w:u w:val="single"/>
        <w:lang w:eastAsia="zh-CN"/>
      </w:rPr>
      <w:drawing>
        <wp:inline distT="0" distB="0" distL="114300" distR="114300">
          <wp:extent cx="571500" cy="409575"/>
          <wp:effectExtent l="0" t="0" r="0" b="952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u w:val="single"/>
        <w:lang w:val="en-US" w:eastAsia="zh-CN"/>
      </w:rPr>
      <w:t xml:space="preserve">                                                                                                                                         宏兴股份不锈钢分公司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757B9E"/>
    <w:rsid w:val="01E33FC6"/>
    <w:rsid w:val="025017D2"/>
    <w:rsid w:val="03F87613"/>
    <w:rsid w:val="04004BF7"/>
    <w:rsid w:val="04812CF5"/>
    <w:rsid w:val="19B46FFB"/>
    <w:rsid w:val="250027FB"/>
    <w:rsid w:val="275C6B5F"/>
    <w:rsid w:val="334020BF"/>
    <w:rsid w:val="349A316D"/>
    <w:rsid w:val="34D44341"/>
    <w:rsid w:val="351C625F"/>
    <w:rsid w:val="44C53E7E"/>
    <w:rsid w:val="46EE58B1"/>
    <w:rsid w:val="47745A86"/>
    <w:rsid w:val="48EE3749"/>
    <w:rsid w:val="4CC26468"/>
    <w:rsid w:val="55C6754F"/>
    <w:rsid w:val="61061D66"/>
    <w:rsid w:val="62695859"/>
    <w:rsid w:val="62C3746A"/>
    <w:rsid w:val="713731D5"/>
    <w:rsid w:val="772964EC"/>
    <w:rsid w:val="7C2D5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1190</Words>
  <Characters>1408</Characters>
  <TotalTime>0</TotalTime>
  <ScaleCrop>false</ScaleCrop>
  <LinksUpToDate>false</LinksUpToDate>
  <CharactersWithSpaces>1511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2023-08-24T15:24:00Z</dcterms:created>
  <dc:creator>sunyan</dc:creator>
  <cp:lastModifiedBy>尚永禄</cp:lastModifiedBy>
  <dcterms:modified xsi:type="dcterms:W3CDTF">2026-03-04T02:23:42Z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2025-08-31T08:44:49Z</vt:filetime>
  </property>
  <property fmtid="{D5CDD505-2E9C-101B-9397-08002B2CF9AE}" pid="4" name="KSOTemplateDocerSaveRecord">
    <vt:lpwstr>eyJoZGlkIjoiMTk5OTM0YzQwMGZmNWQ0ZmRhOWNjZjk4YmQ2ZmI5YTAiLCJ1c2VySWQiOiIxNTY4NjY0NTAwIn0=</vt:lpwstr>
  </property>
  <property fmtid="{D5CDD505-2E9C-101B-9397-08002B2CF9AE}" pid="5" name="KSOProductBuildVer">
    <vt:lpwstr>2052-12.1.0.23542</vt:lpwstr>
  </property>
  <property fmtid="{D5CDD505-2E9C-101B-9397-08002B2CF9AE}" pid="6" name="ICV">
    <vt:lpwstr>12923E606B1C4A6196FA0A0E9530BC24_13</vt:lpwstr>
  </property>
</Properties>
</file>