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93F1A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华文中宋" w:hAnsi="华文中宋" w:eastAsia="华文中宋" w:cs="华文中宋"/>
          <w:color w:val="auto"/>
          <w:kern w:val="2"/>
          <w:sz w:val="44"/>
          <w:szCs w:val="44"/>
          <w:lang w:val="en-US" w:eastAsia="zh-CN" w:bidi="ar-SA"/>
        </w:rPr>
      </w:pPr>
    </w:p>
    <w:p w14:paraId="5B9DA912">
      <w:pPr>
        <w:pStyle w:val="2"/>
        <w:rPr>
          <w:rFonts w:hint="eastAsia" w:ascii="华文中宋" w:hAnsi="华文中宋" w:eastAsia="华文中宋" w:cs="华文中宋"/>
          <w:color w:val="auto"/>
          <w:kern w:val="2"/>
          <w:sz w:val="44"/>
          <w:szCs w:val="44"/>
          <w:lang w:val="en-US" w:eastAsia="zh-CN" w:bidi="ar-SA"/>
        </w:rPr>
      </w:pPr>
    </w:p>
    <w:p w14:paraId="5D59A35E">
      <w:pPr>
        <w:pStyle w:val="4"/>
        <w:rPr>
          <w:rFonts w:hint="eastAsia" w:ascii="华文中宋" w:hAnsi="华文中宋" w:eastAsia="华文中宋" w:cs="华文中宋"/>
          <w:color w:val="auto"/>
          <w:kern w:val="2"/>
          <w:sz w:val="44"/>
          <w:szCs w:val="44"/>
          <w:lang w:val="en-US" w:eastAsia="zh-CN" w:bidi="ar-SA"/>
        </w:rPr>
      </w:pPr>
    </w:p>
    <w:p w14:paraId="63C6B55B">
      <w:pPr>
        <w:pStyle w:val="2"/>
        <w:ind w:left="0" w:leftChars="0" w:firstLine="0" w:firstLineChars="0"/>
        <w:rPr>
          <w:rFonts w:hint="eastAsia"/>
          <w:lang w:val="en-US" w:eastAsia="zh-CN"/>
        </w:rPr>
      </w:pPr>
    </w:p>
    <w:p w14:paraId="5483284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华文中宋" w:hAnsi="华文中宋" w:eastAsia="华文中宋" w:cs="华文中宋"/>
          <w:color w:val="auto"/>
          <w:kern w:val="2"/>
          <w:sz w:val="44"/>
          <w:szCs w:val="44"/>
          <w:lang w:val="en-US" w:eastAsia="zh-CN" w:bidi="ar-SA"/>
        </w:rPr>
      </w:pPr>
      <w:r>
        <w:rPr>
          <w:rFonts w:hint="eastAsia" w:ascii="华文中宋" w:hAnsi="华文中宋" w:eastAsia="华文中宋" w:cs="华文中宋"/>
          <w:color w:val="auto"/>
          <w:kern w:val="2"/>
          <w:sz w:val="44"/>
          <w:szCs w:val="44"/>
          <w:lang w:val="en-US" w:eastAsia="zh-CN" w:bidi="ar-SA"/>
        </w:rPr>
        <w:t>甘肃东兴嘉宇新材料有限公司</w:t>
      </w:r>
    </w:p>
    <w:p w14:paraId="7770A23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华文中宋" w:hAnsi="华文中宋" w:eastAsia="华文中宋" w:cs="华文中宋"/>
          <w:color w:val="auto"/>
          <w:kern w:val="2"/>
          <w:sz w:val="44"/>
          <w:szCs w:val="44"/>
          <w:lang w:val="en-US" w:eastAsia="zh-CN" w:bidi="ar-SA"/>
        </w:rPr>
      </w:pPr>
      <w:r>
        <w:rPr>
          <w:rFonts w:hint="eastAsia" w:ascii="华文中宋" w:hAnsi="华文中宋" w:eastAsia="华文中宋" w:cs="华文中宋"/>
          <w:color w:val="auto"/>
          <w:kern w:val="2"/>
          <w:sz w:val="44"/>
          <w:szCs w:val="44"/>
          <w:lang w:val="en-US" w:eastAsia="zh-CN" w:bidi="ar-SA"/>
        </w:rPr>
        <w:t>便携式心电除颤仪采购技术规格书</w:t>
      </w:r>
    </w:p>
    <w:p w14:paraId="0B7B6A27">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kern w:val="2"/>
          <w:sz w:val="44"/>
          <w:szCs w:val="44"/>
          <w:lang w:val="en-US" w:eastAsia="zh-CN" w:bidi="ar-SA"/>
        </w:rPr>
      </w:pPr>
    </w:p>
    <w:p w14:paraId="6377404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kern w:val="2"/>
          <w:sz w:val="44"/>
          <w:szCs w:val="44"/>
          <w:lang w:val="en-US" w:eastAsia="zh-CN" w:bidi="ar-SA"/>
        </w:rPr>
      </w:pPr>
    </w:p>
    <w:p w14:paraId="5B899FD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kern w:val="2"/>
          <w:sz w:val="44"/>
          <w:szCs w:val="44"/>
          <w:lang w:val="en-US" w:eastAsia="zh-CN" w:bidi="ar-SA"/>
        </w:rPr>
      </w:pPr>
    </w:p>
    <w:p w14:paraId="1249476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2"/>
          <w:sz w:val="44"/>
          <w:szCs w:val="44"/>
          <w:lang w:val="en-US" w:eastAsia="zh-CN" w:bidi="ar-SA"/>
        </w:rPr>
      </w:pPr>
    </w:p>
    <w:p w14:paraId="05F41B9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2"/>
          <w:sz w:val="44"/>
          <w:szCs w:val="44"/>
          <w:lang w:val="en-US" w:eastAsia="zh-CN" w:bidi="ar-SA"/>
        </w:rPr>
      </w:pPr>
    </w:p>
    <w:p w14:paraId="4AF1BAC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color w:val="auto"/>
          <w:kern w:val="2"/>
          <w:sz w:val="44"/>
          <w:szCs w:val="44"/>
          <w:lang w:val="en-US" w:eastAsia="zh-CN" w:bidi="ar-SA"/>
        </w:rPr>
      </w:pPr>
    </w:p>
    <w:p w14:paraId="68F3B104">
      <w:pPr>
        <w:keepNext w:val="0"/>
        <w:keepLines w:val="0"/>
        <w:pageBreakBefore w:val="0"/>
        <w:widowControl w:val="0"/>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技术规格编号：</w:t>
      </w:r>
    </w:p>
    <w:p w14:paraId="2E4C5A6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2"/>
          <w:sz w:val="32"/>
          <w:szCs w:val="32"/>
          <w:lang w:val="en-US" w:eastAsia="zh-CN" w:bidi="ar-SA"/>
        </w:rPr>
      </w:pPr>
    </w:p>
    <w:p w14:paraId="0A2ABDDD">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2"/>
          <w:sz w:val="32"/>
          <w:szCs w:val="32"/>
          <w:lang w:val="en-US" w:eastAsia="zh-CN" w:bidi="ar-SA"/>
        </w:rPr>
      </w:pPr>
    </w:p>
    <w:p w14:paraId="2BA2442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2"/>
          <w:sz w:val="32"/>
          <w:szCs w:val="32"/>
          <w:lang w:val="en-US" w:eastAsia="zh-CN" w:bidi="ar-SA"/>
        </w:rPr>
      </w:pPr>
    </w:p>
    <w:p w14:paraId="6D0FF455">
      <w:pPr>
        <w:keepNext w:val="0"/>
        <w:keepLines w:val="0"/>
        <w:pageBreakBefore w:val="0"/>
        <w:widowControl w:val="0"/>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甲方：甘肃东兴嘉宇新材料有限公司</w:t>
      </w:r>
    </w:p>
    <w:p w14:paraId="1C9E194C">
      <w:pPr>
        <w:keepNext w:val="0"/>
        <w:keepLines w:val="0"/>
        <w:pageBreakBefore w:val="0"/>
        <w:widowControl w:val="0"/>
        <w:kinsoku/>
        <w:wordWrap/>
        <w:overflowPunct/>
        <w:topLinePunct w:val="0"/>
        <w:autoSpaceDE/>
        <w:autoSpaceDN/>
        <w:bidi w:val="0"/>
        <w:adjustRightInd/>
        <w:snapToGrid/>
        <w:spacing w:line="600" w:lineRule="exact"/>
        <w:ind w:firstLine="1280" w:firstLineChars="4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乙方：</w:t>
      </w:r>
    </w:p>
    <w:p w14:paraId="3916686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rPr>
      </w:pPr>
    </w:p>
    <w:p w14:paraId="0A591995">
      <w:pPr>
        <w:pStyle w:val="2"/>
        <w:rPr>
          <w:rFonts w:hint="eastAsia" w:ascii="仿宋_GB2312" w:hAnsi="仿宋_GB2312" w:eastAsia="仿宋_GB2312" w:cs="仿宋_GB2312"/>
          <w:color w:val="auto"/>
          <w:sz w:val="32"/>
          <w:szCs w:val="32"/>
        </w:rPr>
      </w:pPr>
    </w:p>
    <w:p w14:paraId="5610AA70">
      <w:pPr>
        <w:pStyle w:val="4"/>
        <w:rPr>
          <w:rFonts w:hint="eastAsia" w:ascii="仿宋_GB2312" w:hAnsi="仿宋_GB2312" w:eastAsia="仿宋_GB2312" w:cs="仿宋_GB2312"/>
          <w:color w:val="auto"/>
          <w:sz w:val="32"/>
          <w:szCs w:val="32"/>
        </w:rPr>
      </w:pPr>
    </w:p>
    <w:p w14:paraId="216701A2">
      <w:pPr>
        <w:rPr>
          <w:rFonts w:hint="eastAsia"/>
        </w:rPr>
      </w:pPr>
    </w:p>
    <w:p w14:paraId="4650FFF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u w:val="single"/>
          <w:lang w:val="en-US" w:eastAsia="zh-CN"/>
        </w:rPr>
      </w:pPr>
      <w:r>
        <w:rPr>
          <w:rFonts w:hint="eastAsia" w:ascii="仿宋_GB2312" w:hAnsi="仿宋_GB2312" w:eastAsia="仿宋_GB2312" w:cs="仿宋_GB2312"/>
          <w:color w:val="auto"/>
          <w:sz w:val="32"/>
          <w:szCs w:val="32"/>
        </w:rPr>
        <w:t>甘肃东兴嘉宇新材料有限公司（以下简称甲方）</w:t>
      </w:r>
      <w:r>
        <w:rPr>
          <w:rFonts w:hint="eastAsia" w:ascii="仿宋_GB2312" w:hAnsi="仿宋_GB2312" w:eastAsia="仿宋_GB2312" w:cs="仿宋_GB2312"/>
          <w:color w:val="auto"/>
          <w:sz w:val="32"/>
          <w:szCs w:val="32"/>
          <w:lang w:eastAsia="zh-CN"/>
        </w:rPr>
        <w:t>与</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lang w:val="en-US" w:eastAsia="zh-CN"/>
        </w:rPr>
        <w:t xml:space="preserve">                 </w:t>
      </w:r>
    </w:p>
    <w:p w14:paraId="549D217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color w:val="auto"/>
          <w:sz w:val="32"/>
          <w:szCs w:val="32"/>
        </w:rPr>
        <w:t>（以下简称乙方），</w:t>
      </w:r>
      <w:r>
        <w:rPr>
          <w:rFonts w:hint="eastAsia" w:ascii="仿宋_GB2312" w:hAnsi="仿宋_GB2312" w:eastAsia="仿宋_GB2312" w:cs="仿宋_GB2312"/>
          <w:b w:val="0"/>
          <w:bCs w:val="0"/>
          <w:color w:val="auto"/>
          <w:kern w:val="2"/>
          <w:sz w:val="32"/>
          <w:szCs w:val="32"/>
          <w:lang w:val="en-US" w:eastAsia="zh-CN" w:bidi="ar"/>
        </w:rPr>
        <w:t>就甲方</w:t>
      </w:r>
      <w:r>
        <w:rPr>
          <w:rFonts w:hint="eastAsia" w:ascii="仿宋_GB2312" w:hAnsi="仿宋_GB2312" w:eastAsia="仿宋_GB2312" w:cs="仿宋_GB2312"/>
          <w:color w:val="auto"/>
          <w:sz w:val="32"/>
          <w:szCs w:val="32"/>
          <w:lang w:val="en-US" w:eastAsia="zh-CN"/>
        </w:rPr>
        <w:t>便携式心电除颤仪</w:t>
      </w:r>
      <w:r>
        <w:rPr>
          <w:rFonts w:hint="eastAsia" w:ascii="仿宋_GB2312" w:hAnsi="仿宋_GB2312" w:eastAsia="仿宋_GB2312" w:cs="仿宋_GB2312"/>
          <w:b w:val="0"/>
          <w:bCs w:val="0"/>
          <w:color w:val="auto"/>
          <w:kern w:val="2"/>
          <w:sz w:val="32"/>
          <w:szCs w:val="32"/>
          <w:lang w:val="en-US" w:eastAsia="zh-CN" w:bidi="ar"/>
        </w:rPr>
        <w:t>采购事宜，经双方协商，达成如下技术规格书：</w:t>
      </w:r>
    </w:p>
    <w:p w14:paraId="326DE748">
      <w:pPr>
        <w:pStyle w:val="5"/>
        <w:keepNext w:val="0"/>
        <w:keepLines w:val="0"/>
        <w:pageBreakBefore w:val="0"/>
        <w:numPr>
          <w:ilvl w:val="0"/>
          <w:numId w:val="2"/>
        </w:numPr>
        <w:tabs>
          <w:tab w:val="left" w:pos="963"/>
        </w:tabs>
        <w:kinsoku/>
        <w:wordWrap/>
        <w:overflowPunct/>
        <w:topLinePunct w:val="0"/>
        <w:autoSpaceDE/>
        <w:autoSpaceDN/>
        <w:bidi w:val="0"/>
        <w:adjustRightInd/>
        <w:snapToGrid/>
        <w:spacing w:line="520" w:lineRule="exact"/>
        <w:ind w:left="0" w:leftChars="0"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技术依据及说明</w:t>
      </w:r>
    </w:p>
    <w:p w14:paraId="02614A66">
      <w:pPr>
        <w:pStyle w:val="3"/>
        <w:keepNext w:val="0"/>
        <w:keepLines w:val="0"/>
        <w:pageBreakBefore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color w:val="auto"/>
          <w:kern w:val="2"/>
          <w:sz w:val="32"/>
          <w:szCs w:val="32"/>
          <w:lang w:val="en-US" w:eastAsia="zh-CN" w:bidi="ar-SA"/>
        </w:rPr>
        <w:t>本次采购</w:t>
      </w:r>
      <w:r>
        <w:rPr>
          <w:rFonts w:hint="eastAsia" w:ascii="仿宋_GB2312" w:hAnsi="仿宋_GB2312" w:eastAsia="仿宋_GB2312" w:cs="仿宋_GB2312"/>
          <w:color w:val="auto"/>
          <w:sz w:val="32"/>
          <w:szCs w:val="32"/>
          <w:lang w:val="en-US" w:eastAsia="zh-CN"/>
        </w:rPr>
        <w:t>便携式心电除颤仪</w:t>
      </w:r>
      <w:r>
        <w:rPr>
          <w:rFonts w:hint="eastAsia" w:ascii="仿宋_GB2312" w:hAnsi="仿宋_GB2312" w:eastAsia="仿宋_GB2312" w:cs="仿宋_GB2312"/>
          <w:color w:val="auto"/>
          <w:kern w:val="2"/>
          <w:sz w:val="32"/>
          <w:szCs w:val="32"/>
          <w:lang w:val="en-US" w:eastAsia="zh-CN" w:bidi="ar-SA"/>
        </w:rPr>
        <w:t>及全套标准配件、安装调试、培训及售后维保服务，以甲方提供的订货计划及相关确认图为依据。</w:t>
      </w:r>
      <w:r>
        <w:rPr>
          <w:rFonts w:hint="eastAsia" w:ascii="仿宋_GB2312" w:hAnsi="仿宋_GB2312" w:eastAsia="仿宋_GB2312" w:cs="仿宋_GB2312"/>
          <w:b w:val="0"/>
          <w:bCs w:val="0"/>
          <w:color w:val="auto"/>
          <w:kern w:val="2"/>
          <w:sz w:val="32"/>
          <w:szCs w:val="32"/>
          <w:lang w:val="en-US" w:eastAsia="zh-CN" w:bidi="ar"/>
        </w:rPr>
        <w:t>本技术规格书作为甲方设备订货合同的附件，与订货合同同时生效，具有同等法律效力。合同执行期间双方再协商形成的补充协议和追加条款也具有同等法律效力。</w:t>
      </w:r>
    </w:p>
    <w:p w14:paraId="408AFE2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1.本技术规格书所提出的是最低标准的技术要求，并未对一切技术细节做出规定，也未充分引述有关标准和规范的条文，乙方应保证提供符合有关标准和技术文件的优质产品。</w:t>
      </w:r>
    </w:p>
    <w:p w14:paraId="03F9BCF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2. 乙方提供的设备必须是全新、规范、先进的高质量可靠产品，能够确保连续稳定地工作。</w:t>
      </w:r>
    </w:p>
    <w:p w14:paraId="626DC85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3.乙方提供设备的制造，材料的选择，都应按照国内外通用的现行标准和相应的技术规范执行，相关标准和技术规范应为合同签字日为止最新公布的标准和技术规范。</w:t>
      </w:r>
    </w:p>
    <w:p w14:paraId="6F85C36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4.乙方在合同设备制造、供货中，发生侵犯专利的行为时其侵权责任与甲方无关。</w:t>
      </w:r>
    </w:p>
    <w:p w14:paraId="378468D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5.乙方须对设备的完整性、合理性和质量、安全性能承担全部责任。</w:t>
      </w:r>
    </w:p>
    <w:p w14:paraId="25685F2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 xml:space="preserve">6.乙方负责承担设备整体安装调试、培训学习、售后维保及所有相关费用。 </w:t>
      </w:r>
    </w:p>
    <w:p w14:paraId="4569BB2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7. 乙方所提供设备，属于计量范围的，必须提供具有国家资质的计量检定或校准证书，由此产生的计量检定费用由乙方负责。</w:t>
      </w:r>
    </w:p>
    <w:p w14:paraId="50B7DDCF">
      <w:pPr>
        <w:pStyle w:val="5"/>
        <w:keepNext w:val="0"/>
        <w:keepLines w:val="0"/>
        <w:pageBreakBefore w:val="0"/>
        <w:numPr>
          <w:ilvl w:val="0"/>
          <w:numId w:val="2"/>
        </w:numPr>
        <w:tabs>
          <w:tab w:val="left" w:pos="963"/>
        </w:tabs>
        <w:kinsoku/>
        <w:wordWrap/>
        <w:overflowPunct/>
        <w:topLinePunct w:val="0"/>
        <w:autoSpaceDE/>
        <w:autoSpaceDN/>
        <w:bidi w:val="0"/>
        <w:adjustRightInd/>
        <w:snapToGrid/>
        <w:spacing w:line="520" w:lineRule="exact"/>
        <w:ind w:left="0" w:leftChars="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产品描述、技术规格及参数</w:t>
      </w:r>
    </w:p>
    <w:p w14:paraId="5A3A0B68">
      <w:pPr>
        <w:pStyle w:val="3"/>
        <w:keepNext w:val="0"/>
        <w:keepLines w:val="0"/>
        <w:pageBreakBefore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lang w:val="en-US" w:eastAsia="zh-CN"/>
        </w:rPr>
        <w:t>一</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sz w:val="32"/>
          <w:szCs w:val="32"/>
        </w:rPr>
        <w:t>名称：</w:t>
      </w:r>
      <w:r>
        <w:rPr>
          <w:rFonts w:hint="eastAsia" w:ascii="仿宋_GB2312" w:hAnsi="仿宋_GB2312" w:eastAsia="仿宋_GB2312" w:cs="仿宋_GB2312"/>
          <w:color w:val="auto"/>
          <w:sz w:val="32"/>
          <w:szCs w:val="32"/>
          <w:lang w:val="en-US" w:eastAsia="zh-CN"/>
        </w:rPr>
        <w:t>便携式心电除颤仪（AED）</w:t>
      </w:r>
    </w:p>
    <w:p w14:paraId="194E03AB">
      <w:pPr>
        <w:pStyle w:val="6"/>
        <w:keepNext w:val="0"/>
        <w:keepLines w:val="0"/>
        <w:pageBreakBefore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二</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技术要求</w:t>
      </w:r>
      <w:r>
        <w:rPr>
          <w:rFonts w:hint="eastAsia" w:ascii="仿宋_GB2312" w:hAnsi="仿宋_GB2312" w:eastAsia="仿宋_GB2312" w:cs="仿宋_GB2312"/>
          <w:b w:val="0"/>
          <w:bCs w:val="0"/>
          <w:sz w:val="32"/>
          <w:szCs w:val="32"/>
          <w:lang w:eastAsia="zh-CN"/>
        </w:rPr>
        <w:t>：</w:t>
      </w:r>
    </w:p>
    <w:p w14:paraId="5EA98B8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1.1物理规格/性能</w:t>
      </w:r>
    </w:p>
    <w:p w14:paraId="731152A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1.1.1设备具备便携把手</w:t>
      </w:r>
    </w:p>
    <w:p w14:paraId="28AF13F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1.1.2抗冲击/跌落性能：机器六面均可承受≥1.5 m跌落冲击</w:t>
      </w:r>
    </w:p>
    <w:p w14:paraId="3887EDB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1.1.3防尘防水级别：防尘防水级别IP55</w:t>
      </w:r>
    </w:p>
    <w:p w14:paraId="7A201DF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1.1.4工作温度范围满足-20℃～50℃</w:t>
      </w:r>
    </w:p>
    <w:p w14:paraId="721C253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1.1.5工作湿度范围：0%～95%非冷凝</w:t>
      </w:r>
    </w:p>
    <w:p w14:paraId="6DF1ACD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1.1.6工作大气压力范围：570hPa～1062hPa</w:t>
      </w:r>
    </w:p>
    <w:p w14:paraId="1D86A6F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1.1.7运输、储存温度：-30℃～70℃</w:t>
      </w:r>
    </w:p>
    <w:p w14:paraId="12BB235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1.1.8符合EN1789急救车标准认证</w:t>
      </w:r>
    </w:p>
    <w:p w14:paraId="3D460C5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1.2除颤性能</w:t>
      </w:r>
    </w:p>
    <w:p w14:paraId="65AB7A8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1.2.1采用双相波技术，双相指数截断（BTE）波形，波形参数可根据病人阻抗进行自动补偿，输出能量：成人最大能量可支持360J，病人阻抗范围：20～300Ω</w:t>
      </w:r>
    </w:p>
    <w:p w14:paraId="062EEAD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1.2.2除颤后ECG波形恢复的时间不大于2s</w:t>
      </w:r>
    </w:p>
    <w:p w14:paraId="4C42F3B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1.3电池</w:t>
      </w:r>
    </w:p>
    <w:p w14:paraId="78A450A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1.3.1在室温温度环境下，电池待机寿命不少于5年</w:t>
      </w:r>
    </w:p>
    <w:p w14:paraId="180CBC6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1.3.2在适合条件下，至少可支持360次200J除颤治疗或210次360J除颤治疗</w:t>
      </w:r>
    </w:p>
    <w:p w14:paraId="29CFDE5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1.3.3低电量报警后，至少还可持续30分钟工作时间和至少10次200J除颤充放电或至少6次360J除颤放电</w:t>
      </w:r>
    </w:p>
    <w:p w14:paraId="21AE8BE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1.4电极片</w:t>
      </w:r>
    </w:p>
    <w:p w14:paraId="322F862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1.4.1自动识别成人、小儿电极片，根据电极片类型自动选择对应的除颤能量</w:t>
      </w:r>
    </w:p>
    <w:p w14:paraId="148A227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1.4.2具有电极片有效期自检功能和电极片过期提示</w:t>
      </w:r>
    </w:p>
    <w:p w14:paraId="38A8572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1.4.3提供智能语音播报，智能提示急救人员除去病人的衣物、粘贴电极片</w:t>
      </w:r>
    </w:p>
    <w:p w14:paraId="12F434B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1.5操作</w:t>
      </w:r>
    </w:p>
    <w:p w14:paraId="55C2571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1.5.1可一键快速切换中文、英文或自定义多种语言</w:t>
      </w:r>
    </w:p>
    <w:p w14:paraId="014B646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1.5.2支持成人/小儿患者类型快速一键切换，可根据病人类型自动切换提示信息、除颤能量和CPR按压模式</w:t>
      </w:r>
    </w:p>
    <w:p w14:paraId="65137F0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1.5.3 CPR按压模式支持配置30:2，15:2和仅按压模式</w:t>
      </w:r>
    </w:p>
    <w:p w14:paraId="5266DFF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1.6数据传输和存储</w:t>
      </w:r>
    </w:p>
    <w:p w14:paraId="0B9EA3A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 xml:space="preserve">1.6.1数据传输：支持内置WIFI/4G/5G无线数据传输功能，可将数据传输到AED管理平台 </w:t>
      </w:r>
    </w:p>
    <w:p w14:paraId="414B383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1.6.2数据管理：存储5h的ECG波形，可存储不少于1500份自检报告，支持1000条报警事件；可保存1h抢救现场录音</w:t>
      </w:r>
    </w:p>
    <w:p w14:paraId="5733789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1.7维护与自检</w:t>
      </w:r>
    </w:p>
    <w:p w14:paraId="1B8C7EC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1.7.1具有用户自检和设备自检功能支持每日、每周、每月、每季度的设备自检</w:t>
      </w:r>
    </w:p>
    <w:p w14:paraId="7A29BE5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1.7.2提供设备状态指示灯</w:t>
      </w:r>
    </w:p>
    <w:p w14:paraId="536C3EF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1.8机箱要求</w:t>
      </w:r>
    </w:p>
    <w:p w14:paraId="2583864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ascii="等线" w:hAnsi="等线" w:eastAsia="等线"/>
          <w:sz w:val="22"/>
          <w:szCs w:val="28"/>
        </w:rPr>
      </w:pPr>
      <w:r>
        <w:rPr>
          <w:rFonts w:hint="eastAsia" w:ascii="仿宋_GB2312" w:hAnsi="仿宋_GB2312" w:eastAsia="仿宋_GB2312" w:cs="仿宋_GB2312"/>
          <w:color w:val="auto"/>
          <w:kern w:val="2"/>
          <w:sz w:val="32"/>
          <w:szCs w:val="32"/>
          <w:lang w:val="en-US" w:eastAsia="zh-CN" w:bidi="ar-SA"/>
        </w:rPr>
        <w:t>1.8.1采用壁挂式机箱。</w:t>
      </w:r>
    </w:p>
    <w:p w14:paraId="389C443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（三）供货要求</w:t>
      </w:r>
    </w:p>
    <w:p w14:paraId="244DA938">
      <w:pPr>
        <w:pStyle w:val="3"/>
        <w:keepNext w:val="0"/>
        <w:keepLines w:val="0"/>
        <w:pageBreakBefore w:val="0"/>
        <w:numPr>
          <w:ilvl w:val="0"/>
          <w:numId w:val="0"/>
        </w:numPr>
        <w:tabs>
          <w:tab w:val="left" w:pos="90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auto"/>
          <w:sz w:val="32"/>
          <w:szCs w:val="32"/>
          <w:lang w:val="en-US" w:eastAsia="zh-CN"/>
        </w:rPr>
        <w:t>便携式心电除颤仪</w:t>
      </w:r>
      <w:r>
        <w:rPr>
          <w:rFonts w:hint="eastAsia" w:ascii="仿宋_GB2312" w:hAnsi="仿宋_GB2312" w:eastAsia="仿宋_GB2312" w:cs="仿宋_GB2312"/>
          <w:color w:val="000000"/>
          <w:sz w:val="32"/>
          <w:szCs w:val="32"/>
        </w:rPr>
        <w:t>进厂须附带产品合格证和产品质量证明书。</w:t>
      </w:r>
    </w:p>
    <w:p w14:paraId="3D64542E">
      <w:pPr>
        <w:pStyle w:val="3"/>
        <w:keepNext w:val="0"/>
        <w:keepLines w:val="0"/>
        <w:pageBreakBefore w:val="0"/>
        <w:numPr>
          <w:ilvl w:val="0"/>
          <w:numId w:val="0"/>
        </w:numPr>
        <w:tabs>
          <w:tab w:val="left" w:pos="90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2.该设备主要用于办公区、生产车间、公共场所等心脏骤停应急急救，适配非专业人员快速操作。</w:t>
      </w:r>
    </w:p>
    <w:p w14:paraId="5E27DD0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3.设备具有国际上同行业先进的设计水平、制造维护水平，采用先进工艺、材料、技术制造，具有高可靠性，良好的操作性和维修性，能长期稳定连续工作，可靠性高，故障率低，使用成本低。</w:t>
      </w:r>
    </w:p>
    <w:p w14:paraId="3FD4286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4.设备的稳定性好，能适应较恶劣的现场环境条件。实用性强，人性化设计，易操作，易维护。</w:t>
      </w:r>
    </w:p>
    <w:p w14:paraId="4D8067D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5.有完善的售后服务体系（维修和技术支持），用户反映良好。</w:t>
      </w:r>
    </w:p>
    <w:p w14:paraId="2046994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de-DE" w:eastAsia="zh-CN" w:bidi="ar"/>
        </w:rPr>
      </w:pPr>
      <w:r>
        <w:rPr>
          <w:rFonts w:hint="eastAsia" w:ascii="仿宋_GB2312" w:hAnsi="仿宋_GB2312" w:eastAsia="仿宋_GB2312" w:cs="仿宋_GB2312"/>
          <w:b w:val="0"/>
          <w:bCs w:val="0"/>
          <w:color w:val="auto"/>
          <w:kern w:val="2"/>
          <w:sz w:val="32"/>
          <w:szCs w:val="32"/>
          <w:lang w:val="en-US" w:eastAsia="zh-CN" w:bidi="ar"/>
        </w:rPr>
        <w:t>6.安全和其他标准：</w:t>
      </w:r>
      <w:r>
        <w:rPr>
          <w:rFonts w:hint="eastAsia" w:ascii="仿宋_GB2312" w:hAnsi="仿宋_GB2312" w:eastAsia="仿宋_GB2312" w:cs="仿宋_GB2312"/>
          <w:b w:val="0"/>
          <w:bCs w:val="0"/>
          <w:color w:val="auto"/>
          <w:kern w:val="2"/>
          <w:sz w:val="32"/>
          <w:szCs w:val="32"/>
          <w:lang w:val="de-DE" w:eastAsia="zh-CN" w:bidi="ar"/>
        </w:rPr>
        <w:t>符合国家相应安全技术标准。</w:t>
      </w:r>
    </w:p>
    <w:p w14:paraId="553112F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（四）设备验收</w:t>
      </w:r>
    </w:p>
    <w:p w14:paraId="1D8F073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1. 开箱验收：型号、数量、配件、外观完好。</w:t>
      </w:r>
    </w:p>
    <w:p w14:paraId="452592E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2. 功能验收：开机自检、语音、分析、充电、放电模拟正常。</w:t>
      </w:r>
    </w:p>
    <w:p w14:paraId="54D6324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3. 资料验收：注册证、合格证、检测报告、保修卡齐全。</w:t>
      </w:r>
    </w:p>
    <w:p w14:paraId="77AF4E8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4. 培训验收：操作人员独立完成模拟急救。</w:t>
      </w:r>
    </w:p>
    <w:p w14:paraId="2FA7694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（五）人员培训</w:t>
      </w:r>
    </w:p>
    <w:p w14:paraId="7ECCA784">
      <w:pPr>
        <w:keepNext w:val="0"/>
        <w:keepLines w:val="0"/>
        <w:pageBreakBefore w:val="0"/>
        <w:widowControl/>
        <w:suppressLineNumbers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1.技术培训：在用户所在地免费进行每机人数为5—6人的培训。培训内容包括设备的基本操作，提供 PPT、视频、操作手册。</w:t>
      </w:r>
    </w:p>
    <w:p w14:paraId="72C0F3D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2.培训目标：操作人员能够熟练操作应用设备。</w:t>
      </w:r>
    </w:p>
    <w:p w14:paraId="2D895DE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lang w:val="en-US" w:eastAsia="zh-CN"/>
        </w:rPr>
      </w:pPr>
      <w:r>
        <w:rPr>
          <w:rFonts w:hint="eastAsia" w:ascii="仿宋_GB2312" w:hAnsi="仿宋_GB2312" w:eastAsia="仿宋_GB2312" w:cs="仿宋_GB2312"/>
          <w:b w:val="0"/>
          <w:bCs w:val="0"/>
          <w:color w:val="auto"/>
          <w:kern w:val="2"/>
          <w:sz w:val="32"/>
          <w:szCs w:val="32"/>
          <w:lang w:val="en-US" w:eastAsia="zh-CN" w:bidi="ar"/>
        </w:rPr>
        <w:t>3.培训时间：≥ 2 学时。</w:t>
      </w:r>
    </w:p>
    <w:p w14:paraId="6AECE0D1">
      <w:pPr>
        <w:pStyle w:val="5"/>
        <w:keepNext w:val="0"/>
        <w:keepLines w:val="0"/>
        <w:pageBreakBefore w:val="0"/>
        <w:numPr>
          <w:ilvl w:val="0"/>
          <w:numId w:val="2"/>
        </w:numPr>
        <w:tabs>
          <w:tab w:val="left" w:pos="963"/>
        </w:tabs>
        <w:kinsoku/>
        <w:wordWrap/>
        <w:overflowPunct/>
        <w:topLinePunct w:val="0"/>
        <w:autoSpaceDE/>
        <w:autoSpaceDN/>
        <w:bidi w:val="0"/>
        <w:adjustRightInd/>
        <w:snapToGrid/>
        <w:spacing w:line="520" w:lineRule="exact"/>
        <w:ind w:left="0" w:leftChars="0"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质量异议处理</w:t>
      </w:r>
    </w:p>
    <w:p w14:paraId="5E6E03ED">
      <w:pPr>
        <w:pStyle w:val="3"/>
        <w:keepNext w:val="0"/>
        <w:keepLines w:val="0"/>
        <w:pageBreakBefore w:val="0"/>
        <w:numPr>
          <w:ilvl w:val="0"/>
          <w:numId w:val="0"/>
        </w:numPr>
        <w:tabs>
          <w:tab w:val="left" w:pos="90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一</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出现不合格产品，甲方向乙方反馈，之后甲乙双方通过确认</w:t>
      </w:r>
      <w:r>
        <w:rPr>
          <w:rFonts w:hint="eastAsia" w:ascii="仿宋_GB2312" w:hAnsi="仿宋_GB2312" w:eastAsia="仿宋_GB2312" w:cs="仿宋_GB2312"/>
          <w:color w:val="000000"/>
          <w:sz w:val="32"/>
          <w:szCs w:val="32"/>
          <w:lang w:eastAsia="zh-CN"/>
        </w:rPr>
        <w:t>和</w:t>
      </w:r>
      <w:r>
        <w:rPr>
          <w:rFonts w:hint="eastAsia" w:ascii="仿宋_GB2312" w:hAnsi="仿宋_GB2312" w:eastAsia="仿宋_GB2312" w:cs="仿宋_GB2312"/>
          <w:color w:val="000000"/>
          <w:sz w:val="32"/>
          <w:szCs w:val="32"/>
        </w:rPr>
        <w:t>协商确定退货或折让方案。</w:t>
      </w:r>
    </w:p>
    <w:p w14:paraId="4209D08E">
      <w:pPr>
        <w:pStyle w:val="3"/>
        <w:keepNext w:val="0"/>
        <w:keepLines w:val="0"/>
        <w:pageBreakBefore w:val="0"/>
        <w:numPr>
          <w:ilvl w:val="0"/>
          <w:numId w:val="0"/>
        </w:numPr>
        <w:tabs>
          <w:tab w:val="left" w:pos="90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二</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乙方接到甲方不良反馈时，应在3个工作日内作出书面应答</w:t>
      </w:r>
      <w:r>
        <w:rPr>
          <w:rFonts w:hint="eastAsia" w:ascii="仿宋_GB2312" w:hAnsi="仿宋_GB2312" w:eastAsia="仿宋_GB2312" w:cs="仿宋_GB2312"/>
          <w:color w:val="000000"/>
          <w:sz w:val="32"/>
          <w:szCs w:val="32"/>
          <w:lang w:eastAsia="zh-CN"/>
        </w:rPr>
        <w:t>和</w:t>
      </w:r>
      <w:r>
        <w:rPr>
          <w:rFonts w:hint="eastAsia" w:ascii="仿宋_GB2312" w:hAnsi="仿宋_GB2312" w:eastAsia="仿宋_GB2312" w:cs="仿宋_GB2312"/>
          <w:color w:val="000000"/>
          <w:sz w:val="32"/>
          <w:szCs w:val="32"/>
        </w:rPr>
        <w:t>解决方案。如有必要，乙方应在3个工作日内到达甲方现场配合处理；双方协商对不良产品处理后，应对退货或折让结果进行书面确认。</w:t>
      </w:r>
    </w:p>
    <w:p w14:paraId="7D0FCBE6">
      <w:pPr>
        <w:pStyle w:val="3"/>
        <w:keepNext w:val="0"/>
        <w:keepLines w:val="0"/>
        <w:pageBreakBefore w:val="0"/>
        <w:numPr>
          <w:ilvl w:val="0"/>
          <w:numId w:val="0"/>
        </w:numPr>
        <w:tabs>
          <w:tab w:val="left" w:pos="90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三</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所有质量异议的数量</w:t>
      </w:r>
      <w:r>
        <w:rPr>
          <w:rFonts w:hint="eastAsia" w:ascii="仿宋_GB2312" w:hAnsi="仿宋_GB2312" w:eastAsia="仿宋_GB2312" w:cs="仿宋_GB2312"/>
          <w:color w:val="000000"/>
          <w:sz w:val="32"/>
          <w:szCs w:val="32"/>
          <w:lang w:eastAsia="zh-CN"/>
        </w:rPr>
        <w:t>和</w:t>
      </w:r>
      <w:r>
        <w:rPr>
          <w:rFonts w:hint="eastAsia" w:ascii="仿宋_GB2312" w:hAnsi="仿宋_GB2312" w:eastAsia="仿宋_GB2312" w:cs="仿宋_GB2312"/>
          <w:color w:val="000000"/>
          <w:sz w:val="32"/>
          <w:szCs w:val="32"/>
        </w:rPr>
        <w:t>赔偿事项均由甲乙双方主导推进。赔偿方案确定后，乙方按赔偿流程赔付给甲方。</w:t>
      </w:r>
    </w:p>
    <w:p w14:paraId="320F2FA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（四）保质期内，凡是由于设备质量问题引起的损坏，乙方在接到通知24小时内到达现场，无偿负责维修恢复原有的功能，同时无偿提供设备1套供更换。</w:t>
      </w:r>
    </w:p>
    <w:p w14:paraId="62BCC70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rPr>
      </w:pPr>
      <w:r>
        <w:rPr>
          <w:rFonts w:hint="eastAsia" w:ascii="仿宋_GB2312" w:hAnsi="仿宋_GB2312" w:eastAsia="仿宋_GB2312" w:cs="仿宋_GB2312"/>
          <w:b w:val="0"/>
          <w:bCs w:val="0"/>
          <w:color w:val="auto"/>
          <w:kern w:val="2"/>
          <w:sz w:val="32"/>
          <w:szCs w:val="32"/>
          <w:lang w:val="en-US" w:eastAsia="zh-CN" w:bidi="ar"/>
        </w:rPr>
        <w:t>（五）设备因甲方人为原因出现损坏，按甲方通知，乙方积极配合甲方维修处理，优先、及时提供备件，费用由甲方承担。</w:t>
      </w:r>
    </w:p>
    <w:p w14:paraId="13AA7CE4">
      <w:pPr>
        <w:pStyle w:val="5"/>
        <w:keepNext w:val="0"/>
        <w:keepLines w:val="0"/>
        <w:pageBreakBefore w:val="0"/>
        <w:numPr>
          <w:ilvl w:val="0"/>
          <w:numId w:val="2"/>
        </w:numPr>
        <w:tabs>
          <w:tab w:val="left" w:pos="963"/>
        </w:tabs>
        <w:kinsoku/>
        <w:wordWrap/>
        <w:overflowPunct/>
        <w:topLinePunct w:val="0"/>
        <w:autoSpaceDE/>
        <w:autoSpaceDN/>
        <w:bidi w:val="0"/>
        <w:adjustRightInd/>
        <w:snapToGrid/>
        <w:spacing w:line="520" w:lineRule="exact"/>
        <w:ind w:left="0" w:leftChars="0"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其他事项</w:t>
      </w:r>
    </w:p>
    <w:p w14:paraId="304D5F4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一</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b w:val="0"/>
          <w:bCs w:val="0"/>
          <w:color w:val="auto"/>
          <w:kern w:val="2"/>
          <w:sz w:val="32"/>
          <w:szCs w:val="32"/>
          <w:lang w:val="en-US" w:eastAsia="zh-CN" w:bidi="ar"/>
        </w:rPr>
        <w:t>设备到货后甲方进行验收，若不满足使用要求，甲方有权要求退货。质保期内如因设备本身制造引起的质量问题，发生的费用由乙方承担。</w:t>
      </w:r>
    </w:p>
    <w:p w14:paraId="5CC6AC8D">
      <w:pPr>
        <w:pStyle w:val="3"/>
        <w:keepNext w:val="0"/>
        <w:keepLines w:val="0"/>
        <w:pageBreakBefore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二</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本协议经双方委托代理人签字并加盖合同专用章后作为产品采购合同附件，与产品采购合同同时生效。</w:t>
      </w:r>
    </w:p>
    <w:p w14:paraId="40BD5D67">
      <w:pPr>
        <w:pStyle w:val="3"/>
        <w:keepNext w:val="0"/>
        <w:keepLines w:val="0"/>
        <w:pageBreakBefore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三</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甲乙双方应对签订本协议的相关事宜保密，不得将签订主体、时间、内容等信息透露给其他第三人。</w:t>
      </w:r>
    </w:p>
    <w:p w14:paraId="4A42B212">
      <w:pPr>
        <w:pStyle w:val="3"/>
        <w:keepNext w:val="0"/>
        <w:keepLines w:val="0"/>
        <w:pageBreakBefore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四</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本协议条款不得有任何涂改，若有涂改，涂改部分无效。协议有效期为两年。</w:t>
      </w:r>
    </w:p>
    <w:p w14:paraId="40D2A997">
      <w:pPr>
        <w:pStyle w:val="3"/>
        <w:keepNext w:val="0"/>
        <w:keepLines w:val="0"/>
        <w:pageBreakBefore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五</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若乙方未能中标，技术规格书自动失效，双方互不承担任何责任。</w:t>
      </w:r>
    </w:p>
    <w:p w14:paraId="49717E6E">
      <w:pPr>
        <w:pStyle w:val="3"/>
        <w:keepNext w:val="0"/>
        <w:keepLines w:val="0"/>
        <w:pageBreakBefore w:val="0"/>
        <w:kinsoku/>
        <w:wordWrap/>
        <w:overflowPunct/>
        <w:topLinePunct w:val="0"/>
        <w:autoSpaceDE/>
        <w:autoSpaceDN/>
        <w:bidi w:val="0"/>
        <w:adjustRightInd/>
        <w:snapToGrid/>
        <w:spacing w:line="520" w:lineRule="exact"/>
        <w:ind w:left="0" w:leftChars="0" w:firstLine="640" w:firstLineChars="200"/>
        <w:textAlignment w:val="auto"/>
        <w:rPr>
          <w:rFonts w:hint="eastAsia" w:ascii="仿宋_GB2312" w:hAnsi="仿宋_GB2312" w:eastAsia="仿宋_GB2312" w:cs="仿宋_GB2312"/>
          <w:b w:val="0"/>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六</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本协议内容经甲乙双方于</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日</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 xml:space="preserve">时 </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通过</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方式商定。</w:t>
      </w:r>
    </w:p>
    <w:p w14:paraId="058024A6">
      <w:pPr>
        <w:pStyle w:val="3"/>
        <w:keepNext w:val="0"/>
        <w:keepLines w:val="0"/>
        <w:pageBreakBefore w:val="0"/>
        <w:numPr>
          <w:ilvl w:val="0"/>
          <w:numId w:val="0"/>
        </w:numPr>
        <w:tabs>
          <w:tab w:val="left" w:pos="120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本技术规格书一式四份，甲方三份，</w:t>
      </w:r>
      <w:bookmarkStart w:id="0" w:name="_GoBack"/>
      <w:bookmarkEnd w:id="0"/>
      <w:r>
        <w:rPr>
          <w:rFonts w:hint="eastAsia" w:ascii="仿宋_GB2312" w:hAnsi="仿宋_GB2312" w:eastAsia="仿宋_GB2312" w:cs="仿宋_GB2312"/>
          <w:color w:val="000000"/>
          <w:sz w:val="32"/>
          <w:szCs w:val="32"/>
        </w:rPr>
        <w:t>乙方一份。</w:t>
      </w:r>
    </w:p>
    <w:p w14:paraId="7E988171">
      <w:pPr>
        <w:pStyle w:val="3"/>
        <w:keepNext w:val="0"/>
        <w:keepLines w:val="0"/>
        <w:pageBreakBefore w:val="0"/>
        <w:numPr>
          <w:ilvl w:val="0"/>
          <w:numId w:val="0"/>
        </w:numPr>
        <w:tabs>
          <w:tab w:val="left" w:pos="1200"/>
        </w:tab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000000"/>
          <w:sz w:val="32"/>
          <w:szCs w:val="32"/>
        </w:rPr>
      </w:pPr>
    </w:p>
    <w:p w14:paraId="11104E5A">
      <w:pPr>
        <w:pStyle w:val="16"/>
        <w:keepNext w:val="0"/>
        <w:keepLines w:val="0"/>
        <w:pageBreakBefore w:val="0"/>
        <w:kinsoku/>
        <w:wordWrap/>
        <w:overflowPunct/>
        <w:topLinePunct w:val="0"/>
        <w:autoSpaceDE/>
        <w:autoSpaceDN/>
        <w:bidi w:val="0"/>
        <w:adjustRightInd/>
        <w:snapToGrid/>
        <w:spacing w:before="156" w:after="156"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 xml:space="preserve">甲方：甘肃东兴嘉宇新材料公司     乙方：                                </w:t>
      </w:r>
    </w:p>
    <w:p w14:paraId="2D707824">
      <w:pPr>
        <w:pStyle w:val="16"/>
        <w:keepNext w:val="0"/>
        <w:keepLines w:val="0"/>
        <w:pageBreakBefore w:val="0"/>
        <w:kinsoku/>
        <w:wordWrap/>
        <w:overflowPunct/>
        <w:topLinePunct w:val="0"/>
        <w:autoSpaceDE/>
        <w:autoSpaceDN/>
        <w:bidi w:val="0"/>
        <w:adjustRightInd/>
        <w:snapToGrid/>
        <w:spacing w:before="156" w:after="156"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（盖章）                         （盖章）</w:t>
      </w:r>
    </w:p>
    <w:p w14:paraId="21ACE2DA">
      <w:pPr>
        <w:pStyle w:val="16"/>
        <w:keepNext w:val="0"/>
        <w:keepLines w:val="0"/>
        <w:pageBreakBefore w:val="0"/>
        <w:kinsoku/>
        <w:wordWrap/>
        <w:overflowPunct/>
        <w:topLinePunct w:val="0"/>
        <w:autoSpaceDE/>
        <w:autoSpaceDN/>
        <w:bidi w:val="0"/>
        <w:adjustRightInd/>
        <w:snapToGrid/>
        <w:spacing w:before="156" w:after="156" w:line="52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
        </w:rPr>
      </w:pPr>
      <w:r>
        <w:rPr>
          <w:rFonts w:hint="eastAsia" w:ascii="仿宋_GB2312" w:hAnsi="仿宋_GB2312" w:eastAsia="仿宋_GB2312" w:cs="仿宋_GB2312"/>
          <w:b w:val="0"/>
          <w:bCs w:val="0"/>
          <w:color w:val="auto"/>
          <w:kern w:val="2"/>
          <w:sz w:val="32"/>
          <w:szCs w:val="32"/>
          <w:lang w:val="en-US" w:eastAsia="zh-CN" w:bidi="ar"/>
        </w:rPr>
        <w:t>甲方代表：                        乙方代表：</w:t>
      </w:r>
    </w:p>
    <w:p w14:paraId="067AC829">
      <w:pPr>
        <w:pStyle w:val="16"/>
        <w:keepNext w:val="0"/>
        <w:keepLines w:val="0"/>
        <w:pageBreakBefore w:val="0"/>
        <w:kinsoku/>
        <w:wordWrap/>
        <w:overflowPunct/>
        <w:topLinePunct w:val="0"/>
        <w:autoSpaceDE/>
        <w:autoSpaceDN/>
        <w:bidi w:val="0"/>
        <w:adjustRightInd/>
        <w:snapToGrid/>
        <w:spacing w:before="156" w:after="156" w:line="52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val="0"/>
          <w:bCs w:val="0"/>
          <w:color w:val="auto"/>
          <w:kern w:val="2"/>
          <w:sz w:val="32"/>
          <w:szCs w:val="32"/>
          <w:lang w:val="en-US" w:eastAsia="zh-CN" w:bidi="ar"/>
        </w:rPr>
        <w:t>年   月   日                      年   月   日</w:t>
      </w: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60101010101"/>
    <w:charset w:val="86"/>
    <w:family w:val="auto"/>
    <w:pitch w:val="default"/>
    <w:sig w:usb0="00000000" w:usb1="00000000" w:usb2="00000016" w:usb3="00000000" w:csb0="00040001" w:csb1="00000000"/>
    <w:embedRegular r:id="rId1" w:fontKey="{0F1A3CF8-875F-4874-82C3-F29E2B3C5292}"/>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2" w:fontKey="{05D4AD57-E7D9-4D56-8A6E-9A9E160841D4}"/>
  </w:font>
  <w:font w:name="等线">
    <w:altName w:val="微软雅黑"/>
    <w:panose1 w:val="02010600030101010101"/>
    <w:charset w:val="86"/>
    <w:family w:val="auto"/>
    <w:pitch w:val="default"/>
    <w:sig w:usb0="00000000" w:usb1="00000000" w:usb2="00000016" w:usb3="00000000" w:csb0="0004000F" w:csb1="00000000"/>
    <w:embedRegular r:id="rId3" w:fontKey="{41859D70-6594-4980-9510-55217E7B378C}"/>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decimal"/>
      <w:pStyle w:val="32"/>
      <w:lvlText w:val="%1)"/>
      <w:lvlJc w:val="left"/>
      <w:pPr>
        <w:tabs>
          <w:tab w:val="left" w:pos="1559"/>
        </w:tabs>
        <w:ind w:left="1559" w:hanging="419"/>
      </w:pPr>
      <w:rPr>
        <w:rFonts w:hint="eastAsia"/>
        <w:b/>
      </w:rPr>
    </w:lvl>
    <w:lvl w:ilvl="1" w:tentative="0">
      <w:start w:val="1"/>
      <w:numFmt w:val="lowerLetter"/>
      <w:lvlText w:val="%2)"/>
      <w:lvlJc w:val="left"/>
      <w:pPr>
        <w:tabs>
          <w:tab w:val="left" w:pos="1691"/>
        </w:tabs>
        <w:ind w:left="1691" w:hanging="420"/>
      </w:pPr>
    </w:lvl>
    <w:lvl w:ilvl="2" w:tentative="0">
      <w:start w:val="1"/>
      <w:numFmt w:val="lowerRoman"/>
      <w:lvlText w:val="%3."/>
      <w:lvlJc w:val="right"/>
      <w:pPr>
        <w:tabs>
          <w:tab w:val="left" w:pos="2111"/>
        </w:tabs>
        <w:ind w:left="2111" w:hanging="420"/>
      </w:pPr>
    </w:lvl>
    <w:lvl w:ilvl="3" w:tentative="0">
      <w:start w:val="1"/>
      <w:numFmt w:val="decimal"/>
      <w:lvlText w:val="%4."/>
      <w:lvlJc w:val="left"/>
      <w:pPr>
        <w:tabs>
          <w:tab w:val="left" w:pos="2531"/>
        </w:tabs>
        <w:ind w:left="2531" w:hanging="420"/>
      </w:pPr>
    </w:lvl>
    <w:lvl w:ilvl="4" w:tentative="0">
      <w:start w:val="1"/>
      <w:numFmt w:val="lowerLetter"/>
      <w:lvlText w:val="%5)"/>
      <w:lvlJc w:val="left"/>
      <w:pPr>
        <w:tabs>
          <w:tab w:val="left" w:pos="2951"/>
        </w:tabs>
        <w:ind w:left="2951" w:hanging="420"/>
      </w:pPr>
    </w:lvl>
    <w:lvl w:ilvl="5" w:tentative="0">
      <w:start w:val="1"/>
      <w:numFmt w:val="lowerRoman"/>
      <w:lvlText w:val="%6."/>
      <w:lvlJc w:val="right"/>
      <w:pPr>
        <w:tabs>
          <w:tab w:val="left" w:pos="3371"/>
        </w:tabs>
        <w:ind w:left="3371" w:hanging="420"/>
      </w:pPr>
    </w:lvl>
    <w:lvl w:ilvl="6" w:tentative="0">
      <w:start w:val="1"/>
      <w:numFmt w:val="decimal"/>
      <w:lvlText w:val="%7."/>
      <w:lvlJc w:val="left"/>
      <w:pPr>
        <w:tabs>
          <w:tab w:val="left" w:pos="3791"/>
        </w:tabs>
        <w:ind w:left="3791" w:hanging="420"/>
      </w:pPr>
    </w:lvl>
    <w:lvl w:ilvl="7" w:tentative="0">
      <w:start w:val="1"/>
      <w:numFmt w:val="lowerLetter"/>
      <w:lvlText w:val="%8)"/>
      <w:lvlJc w:val="left"/>
      <w:pPr>
        <w:tabs>
          <w:tab w:val="left" w:pos="4211"/>
        </w:tabs>
        <w:ind w:left="4211" w:hanging="420"/>
      </w:pPr>
    </w:lvl>
    <w:lvl w:ilvl="8" w:tentative="0">
      <w:start w:val="1"/>
      <w:numFmt w:val="lowerRoman"/>
      <w:lvlText w:val="%9."/>
      <w:lvlJc w:val="right"/>
      <w:pPr>
        <w:tabs>
          <w:tab w:val="left" w:pos="4631"/>
        </w:tabs>
        <w:ind w:left="4631" w:hanging="420"/>
      </w:pPr>
    </w:lvl>
  </w:abstractNum>
  <w:abstractNum w:abstractNumId="1">
    <w:nsid w:val="44740D8A"/>
    <w:multiLevelType w:val="singleLevel"/>
    <w:tmpl w:val="44740D8A"/>
    <w:lvl w:ilvl="0" w:tentative="0">
      <w:start w:val="1"/>
      <w:numFmt w:val="chineseCounting"/>
      <w:suff w:val="nothing"/>
      <w:lvlText w:val="%1、"/>
      <w:lvlJc w:val="left"/>
      <w:pPr>
        <w:ind w:left="0" w:firstLine="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2MmRlZThhYzIzODhhMmNlNzVmZTFhMWU1MmI1NWYifQ=="/>
  </w:docVars>
  <w:rsids>
    <w:rsidRoot w:val="00172A27"/>
    <w:rsid w:val="00040FE8"/>
    <w:rsid w:val="001A7456"/>
    <w:rsid w:val="00CE63BB"/>
    <w:rsid w:val="00E74052"/>
    <w:rsid w:val="01750FE4"/>
    <w:rsid w:val="025977BA"/>
    <w:rsid w:val="03A5079A"/>
    <w:rsid w:val="04760C0A"/>
    <w:rsid w:val="058D40C7"/>
    <w:rsid w:val="05B04D60"/>
    <w:rsid w:val="077C5344"/>
    <w:rsid w:val="080B4FC2"/>
    <w:rsid w:val="087F3CD2"/>
    <w:rsid w:val="097007A7"/>
    <w:rsid w:val="0D58645B"/>
    <w:rsid w:val="0DB4351A"/>
    <w:rsid w:val="0DD23F22"/>
    <w:rsid w:val="0F831ED1"/>
    <w:rsid w:val="0FFC6214"/>
    <w:rsid w:val="14FE5F5C"/>
    <w:rsid w:val="15986D3D"/>
    <w:rsid w:val="164A05B0"/>
    <w:rsid w:val="17B46DA6"/>
    <w:rsid w:val="181C6DB0"/>
    <w:rsid w:val="1A1F7AB6"/>
    <w:rsid w:val="1C055C4B"/>
    <w:rsid w:val="200640D3"/>
    <w:rsid w:val="2007221C"/>
    <w:rsid w:val="2077437E"/>
    <w:rsid w:val="208F0A69"/>
    <w:rsid w:val="21341CA3"/>
    <w:rsid w:val="21AA717C"/>
    <w:rsid w:val="22EC3898"/>
    <w:rsid w:val="25DC5E46"/>
    <w:rsid w:val="25F64037"/>
    <w:rsid w:val="27005B64"/>
    <w:rsid w:val="28996270"/>
    <w:rsid w:val="2C224E15"/>
    <w:rsid w:val="2ECA5162"/>
    <w:rsid w:val="2F315B3E"/>
    <w:rsid w:val="2FEC22E5"/>
    <w:rsid w:val="312D696C"/>
    <w:rsid w:val="342A0AC5"/>
    <w:rsid w:val="363C3C73"/>
    <w:rsid w:val="36906408"/>
    <w:rsid w:val="37A60E8D"/>
    <w:rsid w:val="382102DF"/>
    <w:rsid w:val="38BA2B06"/>
    <w:rsid w:val="3A386AC6"/>
    <w:rsid w:val="3AC16BAB"/>
    <w:rsid w:val="3B1E7CF4"/>
    <w:rsid w:val="3CEA6C43"/>
    <w:rsid w:val="3D477BF1"/>
    <w:rsid w:val="3DA40AF9"/>
    <w:rsid w:val="4300111E"/>
    <w:rsid w:val="448C0C5B"/>
    <w:rsid w:val="44E15A10"/>
    <w:rsid w:val="455A3528"/>
    <w:rsid w:val="45DF775B"/>
    <w:rsid w:val="46F43E80"/>
    <w:rsid w:val="47DD3053"/>
    <w:rsid w:val="48855A71"/>
    <w:rsid w:val="494C505B"/>
    <w:rsid w:val="49847611"/>
    <w:rsid w:val="4C0E68A7"/>
    <w:rsid w:val="4F3B460A"/>
    <w:rsid w:val="4FA33596"/>
    <w:rsid w:val="4FE92D8A"/>
    <w:rsid w:val="50A017DC"/>
    <w:rsid w:val="51851493"/>
    <w:rsid w:val="519C2862"/>
    <w:rsid w:val="52544425"/>
    <w:rsid w:val="53FC32B4"/>
    <w:rsid w:val="54D335E3"/>
    <w:rsid w:val="555519F1"/>
    <w:rsid w:val="5800524C"/>
    <w:rsid w:val="59721154"/>
    <w:rsid w:val="5A9B1124"/>
    <w:rsid w:val="5ACD6AB0"/>
    <w:rsid w:val="5C352891"/>
    <w:rsid w:val="5FE134B3"/>
    <w:rsid w:val="6130092A"/>
    <w:rsid w:val="614F09D0"/>
    <w:rsid w:val="658A7771"/>
    <w:rsid w:val="67117D68"/>
    <w:rsid w:val="695163BB"/>
    <w:rsid w:val="697D2621"/>
    <w:rsid w:val="698A1E29"/>
    <w:rsid w:val="6C4C02BE"/>
    <w:rsid w:val="6C971E70"/>
    <w:rsid w:val="6F86427B"/>
    <w:rsid w:val="70A9584C"/>
    <w:rsid w:val="718E6DD5"/>
    <w:rsid w:val="71B85EBD"/>
    <w:rsid w:val="72C862FF"/>
    <w:rsid w:val="755A17DA"/>
    <w:rsid w:val="761B6BA6"/>
    <w:rsid w:val="77034176"/>
    <w:rsid w:val="781D46A9"/>
    <w:rsid w:val="793D0D94"/>
    <w:rsid w:val="7C1660BD"/>
    <w:rsid w:val="7C2A49E3"/>
    <w:rsid w:val="7DC66C50"/>
    <w:rsid w:val="7E5E656D"/>
    <w:rsid w:val="7EBD3BB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1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next w:val="1"/>
    <w:qFormat/>
    <w:uiPriority w:val="9"/>
    <w:pPr>
      <w:keepNext w:val="0"/>
      <w:keepLines w:val="0"/>
      <w:widowControl w:val="0"/>
      <w:spacing w:before="240" w:beforeLines="0" w:after="120" w:afterLines="0" w:line="360" w:lineRule="auto"/>
      <w:jc w:val="left"/>
      <w:outlineLvl w:val="0"/>
    </w:pPr>
    <w:rPr>
      <w:rFonts w:ascii="宋体" w:hAnsi="宋体" w:eastAsia="宋体" w:cs="宋体"/>
      <w:b/>
      <w:bCs/>
      <w:kern w:val="44"/>
      <w:sz w:val="24"/>
      <w:szCs w:val="30"/>
    </w:rPr>
  </w:style>
  <w:style w:type="paragraph" w:styleId="6">
    <w:name w:val="heading 2"/>
    <w:next w:val="1"/>
    <w:unhideWhenUsed/>
    <w:qFormat/>
    <w:uiPriority w:val="9"/>
    <w:pPr>
      <w:keepNext w:val="0"/>
      <w:keepLines w:val="0"/>
      <w:widowControl w:val="0"/>
      <w:spacing w:before="120" w:beforeAutospacing="0" w:after="120" w:afterAutospacing="0" w:line="360" w:lineRule="auto"/>
      <w:jc w:val="left"/>
      <w:outlineLvl w:val="1"/>
    </w:pPr>
    <w:rPr>
      <w:rFonts w:ascii="Times New Roman" w:hAnsi="Times New Roman" w:eastAsia="宋体" w:cs="Times New Roman"/>
      <w:b/>
      <w:sz w:val="24"/>
    </w:rPr>
  </w:style>
  <w:style w:type="paragraph" w:styleId="7">
    <w:name w:val="heading 3"/>
    <w:next w:val="1"/>
    <w:semiHidden/>
    <w:unhideWhenUsed/>
    <w:qFormat/>
    <w:uiPriority w:val="9"/>
    <w:pPr>
      <w:keepNext w:val="0"/>
      <w:keepLines w:val="0"/>
      <w:widowControl w:val="0"/>
      <w:spacing w:beforeAutospacing="0" w:after="120" w:afterAutospacing="0" w:line="300" w:lineRule="auto"/>
      <w:jc w:val="left"/>
      <w:outlineLvl w:val="2"/>
    </w:pPr>
    <w:rPr>
      <w:rFonts w:ascii="Times New Roman" w:hAnsi="Times New Roman" w:eastAsia="宋体" w:cs="Times New Roman"/>
      <w:sz w:val="24"/>
    </w:rPr>
  </w:style>
  <w:style w:type="paragraph" w:styleId="8">
    <w:name w:val="heading 4"/>
    <w:next w:val="1"/>
    <w:qFormat/>
    <w:uiPriority w:val="10"/>
    <w:pPr>
      <w:keepNext w:val="0"/>
      <w:keepLines w:val="0"/>
      <w:widowControl w:val="0"/>
      <w:spacing w:beforeAutospacing="0" w:after="120" w:afterAutospacing="0" w:line="300" w:lineRule="auto"/>
      <w:outlineLvl w:val="3"/>
    </w:pPr>
    <w:rPr>
      <w:rFonts w:ascii="Times New Roman" w:hAnsi="Times New Roman" w:eastAsia="宋体" w:cs="Times New Roman"/>
      <w:sz w:val="24"/>
    </w:rPr>
  </w:style>
  <w:style w:type="paragraph" w:styleId="9">
    <w:name w:val="heading 5"/>
    <w:next w:val="1"/>
    <w:semiHidden/>
    <w:unhideWhenUsed/>
    <w:qFormat/>
    <w:uiPriority w:val="9"/>
    <w:pPr>
      <w:keepNext w:val="0"/>
      <w:keepLines w:val="0"/>
      <w:spacing w:beforeLines="0" w:beforeAutospacing="0" w:after="120" w:afterLines="0" w:afterAutospacing="0" w:line="300" w:lineRule="auto"/>
      <w:jc w:val="left"/>
      <w:outlineLvl w:val="4"/>
    </w:pPr>
    <w:rPr>
      <w:rFonts w:ascii="Times New Roman" w:hAnsi="Times New Roman" w:eastAsia="宋体" w:cs="Times New Roman"/>
      <w:sz w:val="24"/>
    </w:rPr>
  </w:style>
  <w:style w:type="paragraph" w:styleId="10">
    <w:name w:val="heading 6"/>
    <w:next w:val="1"/>
    <w:semiHidden/>
    <w:unhideWhenUsed/>
    <w:qFormat/>
    <w:uiPriority w:val="9"/>
    <w:pPr>
      <w:keepNext w:val="0"/>
      <w:keepLines w:val="0"/>
      <w:spacing w:beforeLines="0" w:beforeAutospacing="0" w:after="120" w:afterLines="0" w:afterAutospacing="0" w:line="300" w:lineRule="auto"/>
      <w:jc w:val="left"/>
      <w:outlineLvl w:val="5"/>
    </w:pPr>
    <w:rPr>
      <w:rFonts w:ascii="Times New Roman" w:hAnsi="Times New Roman" w:eastAsia="宋体" w:cs="Times New Roman"/>
      <w:sz w:val="24"/>
    </w:rPr>
  </w:style>
  <w:style w:type="paragraph" w:styleId="11">
    <w:name w:val="heading 7"/>
    <w:next w:val="1"/>
    <w:semiHidden/>
    <w:unhideWhenUsed/>
    <w:qFormat/>
    <w:uiPriority w:val="9"/>
    <w:pPr>
      <w:keepNext w:val="0"/>
      <w:keepLines w:val="0"/>
      <w:spacing w:beforeLines="0" w:beforeAutospacing="0" w:after="120" w:afterLines="0" w:afterAutospacing="0" w:line="300" w:lineRule="auto"/>
      <w:jc w:val="left"/>
      <w:outlineLvl w:val="6"/>
    </w:pPr>
    <w:rPr>
      <w:rFonts w:ascii="Times New Roman" w:hAnsi="Times New Roman" w:eastAsia="宋体" w:cs="Times New Roman"/>
      <w:sz w:val="24"/>
    </w:rPr>
  </w:style>
  <w:style w:type="paragraph" w:styleId="12">
    <w:name w:val="heading 8"/>
    <w:next w:val="1"/>
    <w:semiHidden/>
    <w:unhideWhenUsed/>
    <w:qFormat/>
    <w:uiPriority w:val="9"/>
    <w:pPr>
      <w:keepNext w:val="0"/>
      <w:keepLines w:val="0"/>
      <w:spacing w:beforeLines="0" w:beforeAutospacing="0" w:after="120" w:afterLines="0" w:afterAutospacing="0" w:line="300" w:lineRule="auto"/>
      <w:jc w:val="left"/>
      <w:outlineLvl w:val="7"/>
    </w:pPr>
    <w:rPr>
      <w:rFonts w:ascii="Times New Roman" w:hAnsi="Times New Roman" w:eastAsia="宋体" w:cs="Times New Roman"/>
      <w:sz w:val="24"/>
    </w:rPr>
  </w:style>
  <w:style w:type="paragraph" w:styleId="13">
    <w:name w:val="heading 9"/>
    <w:next w:val="1"/>
    <w:semiHidden/>
    <w:unhideWhenUsed/>
    <w:qFormat/>
    <w:uiPriority w:val="9"/>
    <w:pPr>
      <w:keepNext w:val="0"/>
      <w:keepLines w:val="0"/>
      <w:spacing w:beforeLines="0" w:beforeAutospacing="0" w:after="120" w:afterLines="0" w:afterAutospacing="0" w:line="300" w:lineRule="auto"/>
      <w:jc w:val="left"/>
      <w:outlineLvl w:val="8"/>
    </w:pPr>
    <w:rPr>
      <w:rFonts w:ascii="Times New Roman" w:hAnsi="Times New Roman" w:eastAsia="宋体" w:cs="Times New Roman"/>
      <w:sz w:val="24"/>
    </w:rPr>
  </w:style>
  <w:style w:type="character" w:default="1" w:styleId="24">
    <w:name w:val="Default Paragraph Font"/>
    <w:qFormat/>
    <w:uiPriority w:val="0"/>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semiHidden/>
    <w:qFormat/>
    <w:uiPriority w:val="0"/>
    <w:pPr>
      <w:spacing w:after="120" w:afterAutospacing="0" w:line="300" w:lineRule="auto"/>
      <w:ind w:firstLine="420" w:firstLineChars="200"/>
    </w:pPr>
    <w:rPr>
      <w:rFonts w:ascii="Times New Roman" w:hAnsi="Times New Roman" w:eastAsia="宋体" w:cs="Times New Roman"/>
      <w:sz w:val="24"/>
    </w:rPr>
  </w:style>
  <w:style w:type="paragraph" w:styleId="4">
    <w:name w:val="index 6"/>
    <w:basedOn w:val="1"/>
    <w:next w:val="1"/>
    <w:qFormat/>
    <w:uiPriority w:val="0"/>
    <w:pPr>
      <w:ind w:left="2100"/>
      <w:jc w:val="left"/>
    </w:pPr>
  </w:style>
  <w:style w:type="paragraph" w:styleId="14">
    <w:name w:val="Normal Indent"/>
    <w:basedOn w:val="1"/>
    <w:qFormat/>
    <w:uiPriority w:val="0"/>
    <w:pPr>
      <w:snapToGrid w:val="0"/>
      <w:spacing w:line="300" w:lineRule="auto"/>
      <w:ind w:firstLine="556"/>
    </w:pPr>
    <w:rPr>
      <w:rFonts w:ascii="仿宋_GB2312" w:hAnsi="Times New Roman" w:eastAsia="仿宋_GB2312"/>
      <w:kern w:val="0"/>
      <w:szCs w:val="20"/>
    </w:rPr>
  </w:style>
  <w:style w:type="paragraph" w:styleId="15">
    <w:name w:val="Body Text Indent"/>
    <w:basedOn w:val="1"/>
    <w:qFormat/>
    <w:uiPriority w:val="0"/>
    <w:pPr>
      <w:ind w:firstLine="496" w:firstLineChars="236"/>
    </w:pPr>
    <w:rPr>
      <w:rFonts w:ascii="宋体" w:hAnsi="宋体"/>
      <w:szCs w:val="21"/>
    </w:rPr>
  </w:style>
  <w:style w:type="paragraph" w:styleId="16">
    <w:name w:val="Plain Text"/>
    <w:basedOn w:val="1"/>
    <w:qFormat/>
    <w:uiPriority w:val="0"/>
    <w:rPr>
      <w:rFonts w:ascii="宋体" w:hAnsi="Courier New"/>
      <w:sz w:val="21"/>
    </w:rPr>
  </w:style>
  <w:style w:type="paragraph" w:styleId="17">
    <w:name w:val="Balloon Text"/>
    <w:basedOn w:val="1"/>
    <w:qFormat/>
    <w:uiPriority w:val="0"/>
    <w:rPr>
      <w:sz w:val="18"/>
      <w:szCs w:val="18"/>
    </w:rPr>
  </w:style>
  <w:style w:type="paragraph" w:styleId="18">
    <w:name w:val="footer"/>
    <w:basedOn w:val="1"/>
    <w:link w:val="26"/>
    <w:unhideWhenUsed/>
    <w:qFormat/>
    <w:uiPriority w:val="0"/>
    <w:pPr>
      <w:tabs>
        <w:tab w:val="center" w:pos="4153"/>
        <w:tab w:val="right" w:pos="8306"/>
      </w:tabs>
      <w:snapToGrid w:val="0"/>
      <w:jc w:val="left"/>
    </w:pPr>
    <w:rPr>
      <w:sz w:val="18"/>
      <w:szCs w:val="18"/>
    </w:rPr>
  </w:style>
  <w:style w:type="paragraph" w:styleId="19">
    <w:name w:val="header"/>
    <w:basedOn w:val="1"/>
    <w:link w:val="27"/>
    <w:unhideWhenUsed/>
    <w:qFormat/>
    <w:uiPriority w:val="0"/>
    <w:pPr>
      <w:pBdr>
        <w:bottom w:val="single" w:color="auto" w:sz="6" w:space="1"/>
      </w:pBdr>
      <w:tabs>
        <w:tab w:val="center" w:pos="4153"/>
        <w:tab w:val="right" w:pos="8306"/>
      </w:tabs>
      <w:snapToGrid w:val="0"/>
      <w:jc w:val="center"/>
    </w:pPr>
    <w:rPr>
      <w:sz w:val="18"/>
      <w:szCs w:val="18"/>
    </w:rPr>
  </w:style>
  <w:style w:type="paragraph" w:styleId="20">
    <w:name w:val="Subtitle"/>
    <w:qFormat/>
    <w:uiPriority w:val="11"/>
    <w:pPr>
      <w:widowControl w:val="0"/>
      <w:spacing w:before="120" w:beforeLines="0" w:beforeAutospacing="0" w:after="240" w:afterAutospacing="0" w:line="360" w:lineRule="auto"/>
      <w:jc w:val="center"/>
      <w:outlineLvl w:val="9"/>
    </w:pPr>
    <w:rPr>
      <w:rFonts w:ascii="Calibri" w:hAnsi="Calibri" w:eastAsia="宋体" w:cs="Times New Roman"/>
      <w:b/>
      <w:kern w:val="28"/>
      <w:sz w:val="24"/>
    </w:rPr>
  </w:style>
  <w:style w:type="paragraph" w:styleId="21">
    <w:name w:val="Normal (Web)"/>
    <w:basedOn w:val="1"/>
    <w:unhideWhenUsed/>
    <w:qFormat/>
    <w:uiPriority w:val="99"/>
    <w:pPr>
      <w:spacing w:before="0" w:beforeAutospacing="1" w:after="0" w:afterAutospacing="1"/>
      <w:ind w:left="0" w:right="0"/>
      <w:jc w:val="left"/>
    </w:pPr>
    <w:rPr>
      <w:kern w:val="0"/>
      <w:sz w:val="24"/>
      <w:lang w:val="en-US" w:eastAsia="zh-CN" w:bidi="ar"/>
    </w:rPr>
  </w:style>
  <w:style w:type="paragraph" w:styleId="22">
    <w:name w:val="Title"/>
    <w:qFormat/>
    <w:uiPriority w:val="10"/>
    <w:pPr>
      <w:widowControl w:val="0"/>
      <w:spacing w:beforeAutospacing="0" w:afterAutospacing="0" w:line="360" w:lineRule="auto"/>
      <w:jc w:val="center"/>
      <w:outlineLvl w:val="9"/>
    </w:pPr>
    <w:rPr>
      <w:rFonts w:ascii="Times New Roman" w:hAnsi="Times New Roman" w:eastAsia="黑体" w:cs="Times New Roman"/>
      <w:sz w:val="44"/>
    </w:rPr>
  </w:style>
  <w:style w:type="character" w:styleId="25">
    <w:name w:val="Hyperlink"/>
    <w:basedOn w:val="24"/>
    <w:unhideWhenUsed/>
    <w:qFormat/>
    <w:uiPriority w:val="99"/>
    <w:rPr>
      <w:color w:val="0000FF"/>
      <w:u w:val="single"/>
    </w:rPr>
  </w:style>
  <w:style w:type="character" w:customStyle="1" w:styleId="26">
    <w:name w:val="页脚 Char"/>
    <w:basedOn w:val="24"/>
    <w:link w:val="18"/>
    <w:semiHidden/>
    <w:qFormat/>
    <w:uiPriority w:val="0"/>
    <w:rPr>
      <w:kern w:val="2"/>
      <w:sz w:val="18"/>
      <w:szCs w:val="18"/>
    </w:rPr>
  </w:style>
  <w:style w:type="character" w:customStyle="1" w:styleId="27">
    <w:name w:val="页眉 Char"/>
    <w:basedOn w:val="24"/>
    <w:link w:val="19"/>
    <w:semiHidden/>
    <w:qFormat/>
    <w:uiPriority w:val="0"/>
    <w:rPr>
      <w:kern w:val="2"/>
      <w:sz w:val="18"/>
      <w:szCs w:val="18"/>
    </w:rPr>
  </w:style>
  <w:style w:type="character" w:customStyle="1" w:styleId="28">
    <w:name w:val="font01"/>
    <w:basedOn w:val="24"/>
    <w:qFormat/>
    <w:uiPriority w:val="0"/>
    <w:rPr>
      <w:rFonts w:hint="default" w:ascii="Arial" w:hAnsi="Arial" w:cs="Arial"/>
      <w:color w:val="FF0000"/>
      <w:sz w:val="20"/>
      <w:szCs w:val="20"/>
      <w:u w:val="none"/>
    </w:rPr>
  </w:style>
  <w:style w:type="character" w:customStyle="1" w:styleId="29">
    <w:name w:val="font21"/>
    <w:basedOn w:val="24"/>
    <w:qFormat/>
    <w:uiPriority w:val="0"/>
    <w:rPr>
      <w:rFonts w:hint="eastAsia" w:ascii="宋体" w:hAnsi="宋体" w:eastAsia="宋体" w:cs="宋体"/>
      <w:color w:val="FF0000"/>
      <w:sz w:val="20"/>
      <w:szCs w:val="20"/>
      <w:u w:val="none"/>
    </w:rPr>
  </w:style>
  <w:style w:type="character" w:customStyle="1" w:styleId="30">
    <w:name w:val="font11"/>
    <w:basedOn w:val="24"/>
    <w:qFormat/>
    <w:uiPriority w:val="0"/>
    <w:rPr>
      <w:rFonts w:ascii="Arial" w:hAnsi="Arial" w:cs="Arial"/>
      <w:color w:val="FF0000"/>
      <w:sz w:val="20"/>
      <w:szCs w:val="20"/>
      <w:u w:val="none"/>
    </w:rPr>
  </w:style>
  <w:style w:type="paragraph" w:customStyle="1" w:styleId="3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2">
    <w:name w:val="正文2"/>
    <w:basedOn w:val="1"/>
    <w:qFormat/>
    <w:uiPriority w:val="0"/>
    <w:pPr>
      <w:numPr>
        <w:ilvl w:val="0"/>
        <w:numId w:val="1"/>
      </w:numPr>
      <w:autoSpaceDE w:val="0"/>
      <w:autoSpaceDN w:val="0"/>
      <w:adjustRightInd w:val="0"/>
      <w:spacing w:before="156" w:beforeLines="50" w:after="156" w:afterLines="50"/>
      <w:jc w:val="left"/>
    </w:pPr>
    <w:rPr>
      <w:rFonts w:ascii="Times New Roman" w:hAnsi="宋体" w:eastAsia="宋体"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84060a8f-692a-4fcd-a3cf-b03b8720f4a0</errorID>
      <errorWord>经</errorWord>
      <group>L1_AI</group>
      <groupName>深度校对</groupName>
      <ability>L2_AI_Grammar</ability>
      <abilityName>语法纠错</abilityName>
      <candidateList>
        <item>事宜，经</item>
      </candidateList>
      <explain/>
      <paraID>549D2178</paraID>
      <start>22</start>
      <end>26</end>
      <status>modified</status>
      <modifiedWord>事宜，经</modifiedWord>
      <trackRevisions>false</trackRevisions>
    </reviewItem>
    <reviewItem>
      <errorID>c4e78557-1a7e-4fb0-8ac8-b85fea35e848</errorID>
      <errorWord>:</errorWord>
      <group>L1_Format</group>
      <groupName>格式问题</groupName>
      <ability>L2_HalfPunc</ability>
      <abilityName>全半角检查</abilityName>
      <candidateList>
        <item>：</item>
      </candidateList>
      <explain>文本全半角错误。</explain>
      <paraID>549D2178</paraID>
      <start>40</start>
      <end>41</end>
      <status>modified</status>
      <modifiedWord>：</modifiedWord>
      <trackRevisions>false</trackRevisions>
    </reviewItem>
    <reviewItem>
      <errorID>d3a05f58-fe09-4084-9574-a7d7da9c9731</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626DC859</paraID>
      <start>37</start>
      <end>38</end>
      <status>modified</status>
      <modifiedWord>地</modifiedWord>
      <trackRevisions>false</trackRevisions>
    </reviewItem>
    <reviewItem>
      <errorID>3dd963a1-491d-4a51-b936-11c3a71884b1</errorID>
      <errorWord>公布发</errorWord>
      <group>L1_AI</group>
      <groupName>深度校对</groupName>
      <ability>L2_AI_Word</ability>
      <abilityName>字词纠错</abilityName>
      <candidateList>
        <item>公布</item>
      </candidateList>
      <explain/>
      <paraID> 14C8DAB</paraID>
      <start>63</start>
      <end>65</end>
      <status>modified</status>
      <modifiedWord>公布</modifiedWord>
      <trackRevisions>false</trackRevisions>
    </reviewItem>
    <reviewItem>
      <errorID>0e3a7a09-3446-4a62-aa1e-c5f3c661a462</errorID>
      <errorWord>:</errorWord>
      <group>L1_Format</group>
      <groupName>格式问题</groupName>
      <ability>L2_HalfPunc</ability>
      <abilityName>全半角检查</abilityName>
      <candidateList>
        <item>：</item>
      </candidateList>
      <explain>文本全半角错误。</explain>
      <paraID>1A0D6681</paraID>
      <start>6</start>
      <end>7</end>
      <status>modified</status>
      <modifiedWord>：</modifiedWord>
      <trackRevisions>false</trackRevisions>
    </reviewItem>
    <reviewItem>
      <errorID>86c3770f-956a-4c2c-8764-05318d29b7c7</errorID>
      <errorWord>心脏骤停</errorWord>
      <group>L1_Knowledge</group>
      <groupName>知识性问题</groupName>
      <ability>L2_Term</ability>
      <abilityName>专业术语</abilityName>
      <candidateList>
        <item>心搏骤停</item>
      </candidateList>
      <explain>医学名词[心脏骤停]为不规范表述或旧称，其规范书面表述为[心搏骤停]。</explain>
      <paraID>3D64542E</paraID>
      <start>23</start>
      <end>27</end>
      <status>ignored</status>
      <modifiedWord/>
      <trackRevisions>false</trackRevisions>
    </reviewItem>
    <reviewItem>
      <errorID>d96e89a5-e18d-4472-b543-b82edece01d3</errorID>
      <errorWord>,</errorWord>
      <group>L1_Format</group>
      <groupName>格式问题</groupName>
      <ability>L2_HalfPunc</ability>
      <abilityName>全半角检查</abilityName>
      <candidateList>
        <item>，</item>
      </candidateList>
      <explain>文本全半角错误。</explain>
      <paraID>5E27DD04</paraID>
      <start>74</start>
      <end>75</end>
      <status>modified</status>
      <modifiedWord>，</modifiedWord>
      <trackRevisions>false</trackRevisions>
    </reviewItem>
    <reviewItem>
      <errorID>756aebec-4052-4b7c-99cd-4b94cb24a378</errorID>
      <errorWord>,</errorWord>
      <group>L1_Format</group>
      <groupName>格式问题</groupName>
      <ability>L2_HalfPunc</ability>
      <abilityName>全半角检查</abilityName>
      <candidateList>
        <item>，</item>
      </candidateList>
      <explain>文本全半角错误。</explain>
      <paraID>5E27DD04</paraID>
      <start>79</start>
      <end>80</end>
      <status>modified</status>
      <modifiedWord>，</modifiedWord>
      <trackRevisions>false</trackRevisions>
    </reviewItem>
    <reviewItem>
      <errorID>a8b3080e-513f-48b4-bc49-615399bea455</errorID>
      <errorWord>,</errorWord>
      <group>L1_Format</group>
      <groupName>格式问题</groupName>
      <ability>L2_HalfPunc</ability>
      <abilityName>全半角检查</abilityName>
      <candidateList>
        <item>，</item>
      </candidateList>
      <explain>文本全半角错误。</explain>
      <paraID>3FD42867</paraID>
      <start>9</start>
      <end>10</end>
      <status>modified</status>
      <modifiedWord>，</modifiedWord>
      <trackRevisions>false</trackRevisions>
    </reviewItem>
    <reviewItem>
      <errorID>3ed98a60-4c84-4047-846c-067f1b329cb7</errorID>
      <errorWord>,</errorWord>
      <group>L1_Format</group>
      <groupName>格式问题</groupName>
      <ability>L2_HalfPunc</ability>
      <abilityName>全半角检查</abilityName>
      <candidateList>
        <item>，</item>
      </candidateList>
      <explain>文本全半角错误。</explain>
      <paraID>3FD42867</paraID>
      <start>28</start>
      <end>29</end>
      <status>modified</status>
      <modifiedWord>，</modifiedWord>
      <trackRevisions>false</trackRevisions>
    </reviewItem>
    <reviewItem>
      <errorID>55b41449-dc21-4b16-bc72-2f5034e9ab24</errorID>
      <errorWord>,</errorWord>
      <group>L1_Format</group>
      <groupName>格式问题</groupName>
      <ability>L2_HalfPunc</ability>
      <abilityName>全半角检查</abilityName>
      <candidateList>
        <item>，</item>
      </candidateList>
      <explain>文本全半角错误。</explain>
      <paraID>3FD42867</paraID>
      <start>38</start>
      <end>39</end>
      <status>modified</status>
      <modifiedWord>，</modifiedWord>
      <trackRevisions>false</trackRevisions>
    </reviewItem>
    <reviewItem>
      <errorID>35fb2595-7e43-4c89-88b5-7f7767dbdcea</errorID>
      <errorWord>(</errorWord>
      <group>L1_Format</group>
      <groupName>格式问题</groupName>
      <ability>L2_HalfPunc</ability>
      <abilityName>全半角检查</abilityName>
      <candidateList>
        <item>（</item>
      </candidateList>
      <explain>文本全半角错误。</explain>
      <paraID>4D8067DE</paraID>
      <start>12</start>
      <end>13</end>
      <status>modified</status>
      <modifiedWord>（</modifiedWord>
      <trackRevisions>false</trackRevisions>
    </reviewItem>
    <reviewItem>
      <errorID>878a4fc7-b245-47f4-ad59-618e4ff0c366</errorID>
      <errorWord>),</errorWord>
      <group>L1_Format</group>
      <groupName>格式问题</groupName>
      <ability>L2_HalfPunc</ability>
      <abilityName>全半角检查</abilityName>
      <candidateList>
        <item>），</item>
      </candidateList>
      <explain>文本全半角错误。</explain>
      <paraID>4D8067DE</paraID>
      <start>20</start>
      <end>22</end>
      <status>modified</status>
      <modifiedWord>），</modifiedWord>
      <trackRevisions>false</trackRevisions>
    </reviewItem>
    <reviewItem>
      <errorID>7ff76308-2c4e-4779-8278-a2ce5151ca1a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7ECCA784</paraID>
      <start>23</start>
      <end>24</end>
      <status>modified</status>
      <modifiedWord>—</modifiedWord>
      <trackRevisions>false</trackRevisions>
    </reviewItem>
    <reviewItem>
      <errorID>17cd1a14-7766-4080-964a-f277bb1e2fe3</errorID>
      <errorWord>与</errorWord>
      <group>L1_AI</group>
      <groupName>深度校对</groupName>
      <ability>L2_AI_Word</ability>
      <abilityName>字词纠错</abilityName>
      <candidateList>
        <item>和</item>
      </candidateList>
      <explain/>
      <paraID>5E6E03ED</paraID>
      <start>29</start>
      <end>30</end>
      <status>modified</status>
      <modifiedWord>和</modifiedWord>
      <trackRevisions>false</trackRevisions>
    </reviewItem>
    <reviewItem>
      <errorID>5c8f4b21-9a51-48ec-9f20-80af76d54468</errorID>
      <errorWord>与</errorWord>
      <group>L1_AI</group>
      <groupName>深度校对</groupName>
      <ability>L2_AI_Word</ability>
      <abilityName>字词纠错</abilityName>
      <candidateList>
        <item>和</item>
      </candidateList>
      <explain/>
      <paraID>4209D08E</paraID>
      <start>29</start>
      <end>30</end>
      <status>modified</status>
      <modifiedWord>和</modifiedWord>
      <trackRevisions>false</trackRevisions>
    </reviewItem>
    <reviewItem>
      <errorID>9ede03cf-d77c-4722-afef-26de48ecf33e</errorID>
      <errorWord>及</errorWord>
      <group>L1_AI</group>
      <groupName>深度校对</groupName>
      <ability>L2_AI_Word</ability>
      <abilityName>字词纠错</abilityName>
      <candidateList>
        <item>和</item>
      </candidateList>
      <explain/>
      <paraID>7D0FCBE6</paraID>
      <start>12</start>
      <end>13</end>
      <status>modified</status>
      <modifiedWord>和</modifiedWord>
      <trackRevisions>false</trackRevisions>
    </reviewItem>
    <reviewItem>
      <errorID>c94635dc-d776-4af2-993a-89224e93f88d</errorID>
      <errorWord>是由于设备质量问题引起的</errorWord>
      <group>L1_Grammar</group>
      <groupName>语法问题</groupName>
      <ability>L2_Grammar</ability>
      <abilityName>语法错误</abilityName>
      <candidateList>
        <item>是由于设备质量问题</item>
      </candidateList>
      <explain/>
      <paraID>320F2FAD</paraID>
      <start>9</start>
      <end>21</end>
      <status>ignored</status>
      <modifiedWord/>
      <trackRevisions>false</trackRevisions>
    </reviewItem>
    <reviewItem>
      <errorID>62b80f46-aa9d-426c-be48-332d483d89c4</errorID>
      <errorWord>无法</errorWord>
      <group>L1_AI</group>
      <groupName>深度校对</groupName>
      <ability>L2_AI_Word</ability>
      <abilityName>字词纠错</abilityName>
      <candidateList>
        <item>且无法</item>
      </candidateList>
      <explain/>
      <paraID>31D29F13</paraID>
      <start>6</start>
      <end>9</end>
      <status>modified</status>
      <modifiedWord>且无法</modifiedWord>
      <trackRevisions>false</trackRevisions>
    </reviewItem>
    <reviewItem>
      <errorID>d0366d93-3f85-4e57-8f91-3e86d01a92f0</errorID>
      <errorWord>不再</errorWord>
      <group>L1_AI</group>
      <groupName>深度校对</groupName>
      <ability>L2_AI_Grammar</ability>
      <abilityName>语法纠错</abilityName>
      <candidateList>
        <item>乙方不再</item>
      </candidateList>
      <explain/>
      <paraID>31D29F13</paraID>
      <start>22</start>
      <end>24</end>
      <status>ignored</status>
      <modifiedWord/>
      <trackRevisions>false</trackRevisions>
    </reviewItem>
  </reviewItems>
  <config/>
</contractReview>
</file>

<file path=customXml/itemProps1.xml><?xml version="1.0" encoding="utf-8"?>
<ds:datastoreItem xmlns:ds="http://schemas.openxmlformats.org/officeDocument/2006/customXml" ds:itemID="{1a0c251e-6930-4eef-9f47-08b184cd56b7}">
  <ds:schemaRefs/>
</ds:datastoreItem>
</file>

<file path=docProps/app.xml><?xml version="1.0" encoding="utf-8"?>
<Properties xmlns="http://schemas.openxmlformats.org/officeDocument/2006/extended-properties" xmlns:vt="http://schemas.openxmlformats.org/officeDocument/2006/docPropsVTypes">
  <Template>Normal</Template>
  <Company>a</Company>
  <Pages>6</Pages>
  <Words>2338</Words>
  <Characters>2566</Characters>
  <Lines>24</Lines>
  <Paragraphs>6</Paragraphs>
  <TotalTime>3</TotalTime>
  <ScaleCrop>false</ScaleCrop>
  <LinksUpToDate>false</LinksUpToDate>
  <CharactersWithSpaces>2749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2017-03-04T06:47:00Z</dcterms:created>
  <dc:creator>zhenhaiyan</dc:creator>
  <cp:lastModifiedBy>郭天奇</cp:lastModifiedBy>
  <cp:lastPrinted>2020-09-25T02:35:00Z</cp:lastPrinted>
  <dcterms:modified xsi:type="dcterms:W3CDTF">2026-04-15T09:08:55Z</dcterms:modified>
  <dc:title>攀枝花新钢钒股份有限公司</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DBAEC0253CA744C19141C6042BCDCDF6</vt:lpwstr>
  </property>
  <property fmtid="{D5CDD505-2E9C-101B-9397-08002B2CF9AE}" pid="4" name="KSOTemplateDocerSaveRecord">
    <vt:lpwstr>eyJoZGlkIjoiNDFiM2I1NzkwMGQzMjcwNmRmY2RiZTBmYTA3NDVmZDIiLCJ1c2VySWQiOiIxNDg5MzA2NTcyIn0=</vt:lpwstr>
  </property>
</Properties>
</file>