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40" w:lineRule="atLeast"/>
        <w:ind w:right="2" w:rightChars="1"/>
        <w:jc w:val="center"/>
        <w:rPr>
          <w:rFonts w:hint="eastAsia" w:ascii="宋体" w:hAnsi="宋体" w:cs="宋体"/>
          <w:b/>
          <w:bCs/>
          <w:sz w:val="44"/>
          <w:szCs w:val="44"/>
          <w:highlight w:val="none"/>
        </w:rPr>
      </w:pPr>
    </w:p>
    <w:p>
      <w:pPr>
        <w:snapToGrid w:val="0"/>
        <w:spacing w:line="240" w:lineRule="atLeast"/>
        <w:ind w:right="2" w:rightChars="1"/>
        <w:jc w:val="center"/>
        <w:rPr>
          <w:rFonts w:hint="eastAsia" w:ascii="宋体" w:hAnsi="宋体" w:cs="宋体"/>
          <w:b/>
          <w:bCs/>
          <w:sz w:val="44"/>
          <w:szCs w:val="44"/>
          <w:highlight w:val="none"/>
        </w:rPr>
      </w:pPr>
    </w:p>
    <w:p>
      <w:pPr>
        <w:snapToGrid w:val="0"/>
        <w:spacing w:line="240" w:lineRule="atLeast"/>
        <w:ind w:right="2" w:rightChars="1"/>
        <w:jc w:val="center"/>
        <w:rPr>
          <w:rFonts w:hint="eastAsia" w:ascii="宋体" w:hAnsi="宋体" w:cs="宋体"/>
          <w:b/>
          <w:bCs/>
          <w:sz w:val="44"/>
          <w:szCs w:val="44"/>
          <w:highlight w:val="none"/>
        </w:rPr>
      </w:pPr>
    </w:p>
    <w:p>
      <w:pPr>
        <w:snapToGrid w:val="0"/>
        <w:spacing w:line="240" w:lineRule="atLeast"/>
        <w:ind w:right="2" w:rightChars="1"/>
        <w:jc w:val="center"/>
        <w:rPr>
          <w:rFonts w:hint="eastAsia" w:ascii="宋体" w:hAnsi="宋体"/>
          <w:sz w:val="44"/>
          <w:szCs w:val="44"/>
          <w:highlight w:val="none"/>
        </w:rPr>
      </w:pPr>
      <w:r>
        <w:rPr>
          <w:rFonts w:hint="eastAsia" w:ascii="宋体" w:hAnsi="宋体" w:cs="宋体"/>
          <w:b/>
          <w:bCs/>
          <w:sz w:val="44"/>
          <w:szCs w:val="44"/>
          <w:highlight w:val="none"/>
        </w:rPr>
        <w:t>酒泉钢铁（集团）宏兴股份公司</w:t>
      </w:r>
    </w:p>
    <w:p>
      <w:pPr>
        <w:snapToGrid w:val="0"/>
        <w:spacing w:line="240" w:lineRule="atLeast"/>
        <w:ind w:right="2" w:rightChars="1"/>
        <w:jc w:val="center"/>
        <w:rPr>
          <w:rFonts w:hint="eastAsia" w:ascii="宋体" w:hAnsi="宋体"/>
          <w:sz w:val="44"/>
          <w:szCs w:val="44"/>
          <w:highlight w:val="none"/>
        </w:rPr>
      </w:pPr>
      <w:r>
        <w:rPr>
          <w:rFonts w:hint="eastAsia" w:ascii="宋体" w:hAnsi="宋体"/>
          <w:sz w:val="44"/>
          <w:szCs w:val="44"/>
          <w:highlight w:val="none"/>
        </w:rPr>
        <w:t>（</w:t>
      </w:r>
      <w:r>
        <w:rPr>
          <w:rFonts w:hint="eastAsia" w:hAnsi="宋体" w:eastAsia="宋体"/>
          <w:sz w:val="44"/>
          <w:szCs w:val="44"/>
          <w:highlight w:val="none"/>
          <w:lang w:eastAsia="zh-CN"/>
        </w:rPr>
        <w:t>石灰消化机\SJ-20 10</w:t>
      </w:r>
      <w:r>
        <w:rPr>
          <w:rFonts w:hint="eastAsia" w:hAnsi="宋体" w:eastAsia="宋体"/>
          <w:sz w:val="40"/>
          <w:szCs w:val="40"/>
          <w:lang w:eastAsia="zh-CN"/>
        </w:rPr>
        <w:t>）</w:t>
      </w:r>
    </w:p>
    <w:p>
      <w:pPr>
        <w:snapToGrid w:val="0"/>
        <w:spacing w:line="240" w:lineRule="atLeast"/>
        <w:ind w:right="2" w:rightChars="1"/>
        <w:jc w:val="center"/>
        <w:rPr>
          <w:rFonts w:hint="eastAsia" w:ascii="宋体" w:hAnsi="宋体" w:eastAsia="宋体"/>
          <w:sz w:val="44"/>
          <w:szCs w:val="44"/>
          <w:highlight w:val="none"/>
          <w:lang w:eastAsia="zh-CN"/>
        </w:rPr>
      </w:pPr>
      <w:r>
        <w:rPr>
          <w:rFonts w:hint="eastAsia" w:ascii="宋体" w:hAnsi="宋体"/>
          <w:sz w:val="44"/>
          <w:szCs w:val="44"/>
          <w:highlight w:val="none"/>
        </w:rPr>
        <w:t>技术</w:t>
      </w:r>
      <w:r>
        <w:rPr>
          <w:rFonts w:hint="eastAsia" w:hAnsi="宋体" w:eastAsia="宋体"/>
          <w:sz w:val="44"/>
          <w:szCs w:val="44"/>
          <w:highlight w:val="none"/>
          <w:lang w:eastAsia="zh-CN"/>
        </w:rPr>
        <w:t>规格书</w:t>
      </w:r>
    </w:p>
    <w:p>
      <w:pPr>
        <w:rPr>
          <w:rFonts w:hint="eastAsia" w:ascii="宋体" w:hAnsi="宋体"/>
          <w:b/>
          <w:bCs/>
          <w:sz w:val="32"/>
          <w:highlight w:val="none"/>
        </w:rPr>
      </w:pPr>
    </w:p>
    <w:p>
      <w:pPr>
        <w:rPr>
          <w:rFonts w:hint="eastAsia" w:ascii="宋体" w:hAnsi="宋体"/>
          <w:b/>
          <w:bCs/>
          <w:sz w:val="32"/>
          <w:highlight w:val="none"/>
        </w:rPr>
      </w:pPr>
    </w:p>
    <w:p>
      <w:pPr>
        <w:rPr>
          <w:rFonts w:hint="eastAsia" w:ascii="宋体" w:hAnsi="宋体"/>
          <w:b/>
          <w:bCs/>
          <w:sz w:val="32"/>
          <w:highlight w:val="none"/>
        </w:rPr>
      </w:pPr>
    </w:p>
    <w:p>
      <w:pPr>
        <w:rPr>
          <w:rFonts w:hint="eastAsia" w:ascii="宋体" w:hAnsi="宋体"/>
          <w:b/>
          <w:bCs/>
          <w:sz w:val="32"/>
          <w:highlight w:val="none"/>
        </w:rPr>
      </w:pPr>
    </w:p>
    <w:p>
      <w:pPr>
        <w:rPr>
          <w:rFonts w:hint="eastAsia" w:ascii="宋体" w:hAnsi="宋体"/>
          <w:b/>
          <w:bCs/>
          <w:sz w:val="32"/>
          <w:highlight w:val="none"/>
        </w:rPr>
      </w:pPr>
    </w:p>
    <w:p>
      <w:pPr>
        <w:rPr>
          <w:rFonts w:hint="eastAsia" w:ascii="宋体" w:hAnsi="宋体"/>
          <w:b/>
          <w:bCs/>
          <w:sz w:val="32"/>
          <w:highlight w:val="none"/>
        </w:rPr>
      </w:pPr>
    </w:p>
    <w:p>
      <w:pPr>
        <w:rPr>
          <w:rFonts w:hint="eastAsia" w:ascii="宋体" w:hAnsi="宋体"/>
          <w:b/>
          <w:bCs/>
          <w:sz w:val="32"/>
          <w:highlight w:val="none"/>
        </w:rPr>
      </w:pPr>
    </w:p>
    <w:p>
      <w:pPr>
        <w:rPr>
          <w:rFonts w:hint="eastAsia" w:ascii="宋体" w:hAnsi="宋体"/>
          <w:b/>
          <w:bCs/>
          <w:sz w:val="32"/>
          <w:highlight w:val="none"/>
        </w:rPr>
      </w:pPr>
    </w:p>
    <w:p>
      <w:pPr>
        <w:rPr>
          <w:rFonts w:hint="eastAsia" w:ascii="宋体" w:hAnsi="宋体"/>
          <w:b/>
          <w:bCs/>
          <w:sz w:val="32"/>
          <w:highlight w:val="none"/>
        </w:rPr>
      </w:pPr>
    </w:p>
    <w:p>
      <w:pPr>
        <w:pStyle w:val="3"/>
        <w:wordWrap/>
        <w:autoSpaceDE/>
        <w:autoSpaceDN/>
        <w:spacing w:before="0" w:after="0" w:line="360" w:lineRule="auto"/>
        <w:ind w:left="0" w:firstLine="0"/>
        <w:rPr>
          <w:rFonts w:hint="eastAsia" w:ascii="仿宋_GB2312" w:hAnsi="宋体" w:eastAsia="仿宋_GB2312"/>
          <w:caps w:val="0"/>
          <w:smallCaps w:val="0"/>
          <w:vanish w:val="0"/>
          <w:kern w:val="0"/>
          <w:sz w:val="28"/>
          <w:szCs w:val="28"/>
          <w:highlight w:val="none"/>
          <w:lang w:val="en-US" w:eastAsia="zh-CN" w:bidi="ar-SA"/>
        </w:rPr>
      </w:pPr>
    </w:p>
    <w:p>
      <w:pPr>
        <w:pStyle w:val="3"/>
        <w:wordWrap/>
        <w:autoSpaceDE/>
        <w:autoSpaceDN/>
        <w:spacing w:before="0" w:after="0" w:line="360" w:lineRule="auto"/>
        <w:ind w:left="0" w:firstLine="1124" w:firstLineChars="400"/>
        <w:rPr>
          <w:rFonts w:hint="eastAsia" w:ascii="仿宋_GB2312" w:hAnsi="宋体" w:eastAsia="仿宋_GB2312"/>
          <w:b/>
          <w:bCs/>
          <w:caps w:val="0"/>
          <w:smallCaps w:val="0"/>
          <w:vanish w:val="0"/>
          <w:kern w:val="0"/>
          <w:sz w:val="28"/>
          <w:szCs w:val="28"/>
          <w:highlight w:val="none"/>
          <w:lang w:val="en-US" w:eastAsia="zh-CN" w:bidi="ar-SA"/>
        </w:rPr>
      </w:pPr>
      <w:r>
        <w:rPr>
          <w:rFonts w:hint="eastAsia" w:ascii="仿宋_GB2312" w:hAnsi="宋体" w:eastAsia="仿宋_GB2312"/>
          <w:b/>
          <w:bCs/>
          <w:caps w:val="0"/>
          <w:smallCaps w:val="0"/>
          <w:vanish w:val="0"/>
          <w:kern w:val="0"/>
          <w:sz w:val="28"/>
          <w:szCs w:val="28"/>
          <w:highlight w:val="none"/>
          <w:lang w:val="en-US" w:eastAsia="zh-CN" w:bidi="ar-SA"/>
        </w:rPr>
        <w:t>甲  方：酒泉钢铁（集团）宏兴股份公司动力厂</w:t>
      </w:r>
    </w:p>
    <w:p>
      <w:pPr>
        <w:pStyle w:val="3"/>
        <w:wordWrap/>
        <w:autoSpaceDE/>
        <w:autoSpaceDN/>
        <w:spacing w:before="0" w:after="0" w:line="360" w:lineRule="auto"/>
        <w:ind w:left="0" w:firstLine="1124" w:firstLineChars="400"/>
        <w:rPr>
          <w:rFonts w:hint="eastAsia" w:ascii="仿宋_GB2312" w:hAnsi="宋体" w:eastAsia="仿宋_GB2312"/>
          <w:b/>
          <w:bCs/>
          <w:caps w:val="0"/>
          <w:smallCaps w:val="0"/>
          <w:vanish w:val="0"/>
          <w:kern w:val="0"/>
          <w:sz w:val="28"/>
          <w:szCs w:val="28"/>
          <w:highlight w:val="none"/>
          <w:lang w:val="en-US" w:eastAsia="zh-CN" w:bidi="ar-SA"/>
        </w:rPr>
      </w:pPr>
      <w:r>
        <w:rPr>
          <w:rFonts w:hint="eastAsia" w:ascii="仿宋_GB2312" w:hAnsi="宋体" w:eastAsia="仿宋_GB2312"/>
          <w:b/>
          <w:bCs/>
          <w:caps w:val="0"/>
          <w:smallCaps w:val="0"/>
          <w:vanish w:val="0"/>
          <w:kern w:val="0"/>
          <w:sz w:val="28"/>
          <w:szCs w:val="28"/>
          <w:highlight w:val="none"/>
          <w:lang w:val="en-US" w:eastAsia="zh-CN" w:bidi="ar-SA"/>
        </w:rPr>
        <w:t>乙  方：</w:t>
      </w:r>
    </w:p>
    <w:p>
      <w:pPr>
        <w:pStyle w:val="3"/>
        <w:wordWrap/>
        <w:autoSpaceDE/>
        <w:autoSpaceDN/>
        <w:spacing w:before="0" w:after="0" w:line="360" w:lineRule="auto"/>
        <w:ind w:left="0" w:firstLine="0"/>
        <w:rPr>
          <w:rFonts w:hint="eastAsia" w:ascii="仿宋_GB2312" w:hAnsi="宋体" w:eastAsia="仿宋_GB2312"/>
          <w:caps w:val="0"/>
          <w:smallCaps w:val="0"/>
          <w:vanish w:val="0"/>
          <w:kern w:val="0"/>
          <w:sz w:val="28"/>
          <w:szCs w:val="28"/>
          <w:highlight w:val="none"/>
          <w:lang w:val="en-US" w:eastAsia="zh-CN" w:bidi="ar-SA"/>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spacing w:line="460" w:lineRule="exact"/>
        <w:jc w:val="center"/>
        <w:rPr>
          <w:rFonts w:hint="eastAsia" w:eastAsia="宋体"/>
          <w:b/>
          <w:sz w:val="36"/>
          <w:highlight w:val="none"/>
          <w:lang w:val="en-US" w:eastAsia="zh-CN"/>
        </w:rPr>
      </w:pPr>
      <w:r>
        <w:rPr>
          <w:rFonts w:hint="eastAsia" w:eastAsia="宋体"/>
          <w:b/>
          <w:sz w:val="36"/>
          <w:highlight w:val="none"/>
          <w:lang w:val="en-US" w:eastAsia="zh-CN"/>
        </w:rPr>
        <w:t xml:space="preserve"> </w:t>
      </w:r>
    </w:p>
    <w:p>
      <w:pPr>
        <w:spacing w:line="460" w:lineRule="exact"/>
        <w:jc w:val="center"/>
        <w:rPr>
          <w:rFonts w:hint="eastAsia" w:eastAsia="宋体"/>
          <w:b/>
          <w:sz w:val="36"/>
          <w:highlight w:val="none"/>
          <w:lang w:val="en-US" w:eastAsia="zh-CN"/>
        </w:rPr>
      </w:pPr>
    </w:p>
    <w:p>
      <w:pPr>
        <w:spacing w:line="460" w:lineRule="exact"/>
        <w:jc w:val="center"/>
        <w:rPr>
          <w:rFonts w:hint="eastAsia" w:eastAsia="宋体"/>
          <w:b/>
          <w:sz w:val="36"/>
          <w:highlight w:val="none"/>
          <w:lang w:val="en-US" w:eastAsia="zh-CN"/>
        </w:rPr>
      </w:pPr>
    </w:p>
    <w:p>
      <w:pPr>
        <w:spacing w:line="460" w:lineRule="exact"/>
        <w:jc w:val="center"/>
        <w:rPr>
          <w:rFonts w:hint="eastAsia" w:eastAsia="宋体"/>
          <w:b/>
          <w:sz w:val="36"/>
          <w:highlight w:val="none"/>
          <w:lang w:val="en-US" w:eastAsia="zh-CN"/>
        </w:rPr>
      </w:pPr>
    </w:p>
    <w:p>
      <w:pPr>
        <w:spacing w:line="460" w:lineRule="exact"/>
        <w:jc w:val="center"/>
        <w:rPr>
          <w:rFonts w:hint="eastAsia" w:eastAsia="宋体"/>
          <w:b/>
          <w:sz w:val="36"/>
          <w:highlight w:val="none"/>
          <w:lang w:val="en-US" w:eastAsia="zh-CN"/>
        </w:rPr>
      </w:pPr>
    </w:p>
    <w:p>
      <w:pPr>
        <w:spacing w:line="460" w:lineRule="exact"/>
        <w:jc w:val="center"/>
        <w:rPr>
          <w:rFonts w:eastAsia="宋体"/>
          <w:b/>
          <w:sz w:val="36"/>
          <w:highlight w:val="none"/>
        </w:rPr>
      </w:pPr>
      <w:r>
        <w:rPr>
          <w:rFonts w:hint="eastAsia" w:eastAsia="宋体"/>
          <w:b/>
          <w:sz w:val="36"/>
          <w:highlight w:val="none"/>
        </w:rPr>
        <w:t>目</w:t>
      </w:r>
      <w:r>
        <w:rPr>
          <w:rFonts w:hint="eastAsia" w:eastAsia="宋体"/>
          <w:b/>
          <w:sz w:val="36"/>
          <w:highlight w:val="none"/>
          <w:lang w:val="en-US" w:eastAsia="zh-CN"/>
        </w:rPr>
        <w:t xml:space="preserve">  </w:t>
      </w:r>
      <w:r>
        <w:rPr>
          <w:rFonts w:hint="eastAsia" w:eastAsia="宋体"/>
          <w:b/>
          <w:sz w:val="36"/>
          <w:highlight w:val="none"/>
        </w:rPr>
        <w:t>录</w:t>
      </w:r>
    </w:p>
    <w:p>
      <w:pPr>
        <w:spacing w:line="460" w:lineRule="exact"/>
        <w:ind w:firstLine="3791"/>
        <w:rPr>
          <w:rFonts w:hint="eastAsia" w:ascii="仿宋_GB2312" w:hAnsi="仿宋_GB2312" w:eastAsia="仿宋_GB2312" w:cs="仿宋_GB2312"/>
          <w:b/>
          <w:sz w:val="30"/>
          <w:szCs w:val="30"/>
          <w:highlight w:val="none"/>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GB" w:eastAsia="zh-CN"/>
        </w:rPr>
      </w:pPr>
      <w:r>
        <w:rPr>
          <w:rFonts w:hint="eastAsia" w:ascii="仿宋_GB2312" w:hAnsi="仿宋_GB2312" w:eastAsia="仿宋_GB2312" w:cs="仿宋_GB2312"/>
          <w:b w:val="0"/>
          <w:bCs w:val="0"/>
          <w:kern w:val="2"/>
          <w:sz w:val="32"/>
          <w:szCs w:val="32"/>
          <w:lang w:val="en-US" w:eastAsia="zh-CN"/>
        </w:rPr>
        <w:t>一、总则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GB" w:eastAsia="zh-CN"/>
        </w:rPr>
      </w:pPr>
      <w:r>
        <w:rPr>
          <w:rFonts w:hint="eastAsia" w:ascii="仿宋_GB2312" w:hAnsi="仿宋_GB2312" w:eastAsia="仿宋_GB2312" w:cs="仿宋_GB2312"/>
          <w:b w:val="0"/>
          <w:bCs w:val="0"/>
          <w:kern w:val="2"/>
          <w:sz w:val="32"/>
          <w:szCs w:val="32"/>
          <w:lang w:val="en-GB" w:eastAsia="zh-CN"/>
        </w:rPr>
        <w:t>二、供货范围及设备参数</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三、制造技术要求</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四、</w:t>
      </w:r>
      <w:r>
        <w:rPr>
          <w:rFonts w:hint="eastAsia" w:ascii="仿宋_GB2312" w:hAnsi="仿宋_GB2312" w:eastAsia="仿宋_GB2312" w:cs="仿宋_GB2312"/>
          <w:b w:val="0"/>
          <w:bCs w:val="0"/>
          <w:kern w:val="2"/>
          <w:sz w:val="32"/>
          <w:szCs w:val="32"/>
          <w:lang w:val="en-GB" w:eastAsia="zh-CN"/>
        </w:rPr>
        <w:t>验收及技术服务：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五、提供资料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六、交货时间及地点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七、其他</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lang w:val="en-US" w:eastAsia="zh-CN"/>
        </w:rPr>
      </w:pPr>
    </w:p>
    <w:p>
      <w:pPr>
        <w:pStyle w:val="4"/>
        <w:rPr>
          <w:rFonts w:hint="eastAsia"/>
          <w:highlight w:val="none"/>
          <w:lang w:val="en-US" w:eastAsia="zh-CN"/>
        </w:rPr>
      </w:pPr>
    </w:p>
    <w:p>
      <w:pPr>
        <w:pStyle w:val="4"/>
        <w:rPr>
          <w:rFonts w:hint="eastAsia"/>
          <w:highlight w:val="none"/>
          <w:lang w:val="en-US" w:eastAsia="zh-CN"/>
        </w:rPr>
      </w:pPr>
    </w:p>
    <w:p>
      <w:pPr>
        <w:pStyle w:val="4"/>
        <w:rPr>
          <w:rFonts w:hint="eastAsia"/>
          <w:highlight w:val="none"/>
          <w:lang w:val="en-US" w:eastAsia="zh-CN"/>
        </w:rPr>
      </w:pPr>
    </w:p>
    <w:p>
      <w:pPr>
        <w:pStyle w:val="4"/>
        <w:rPr>
          <w:rFonts w:hint="eastAsia"/>
          <w:highlight w:val="none"/>
          <w:lang w:val="en-US" w:eastAsia="zh-CN"/>
        </w:rPr>
      </w:pPr>
    </w:p>
    <w:p>
      <w:pPr>
        <w:pStyle w:val="4"/>
        <w:rPr>
          <w:rFonts w:hint="eastAsia"/>
          <w:highlight w:val="none"/>
          <w:lang w:val="en-US" w:eastAsia="zh-CN"/>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甘肃酒钢集团宏兴钢铁股份有限公司动力厂</w:t>
      </w:r>
      <w:r>
        <w:rPr>
          <w:rFonts w:hint="eastAsia" w:ascii="仿宋_GB2312" w:hAnsi="仿宋_GB2312" w:eastAsia="仿宋_GB2312" w:cs="仿宋_GB2312"/>
          <w:b w:val="0"/>
          <w:bCs w:val="0"/>
          <w:kern w:val="2"/>
          <w:sz w:val="32"/>
          <w:szCs w:val="32"/>
          <w:highlight w:val="none"/>
          <w:lang w:val="en-GB" w:eastAsia="zh-CN"/>
        </w:rPr>
        <w:t>（以下称甲方）与</w:t>
      </w:r>
      <w:r>
        <w:rPr>
          <w:rFonts w:hint="eastAsia" w:ascii="仿宋_GB2312" w:hAnsi="仿宋_GB2312" w:eastAsia="仿宋_GB2312" w:cs="仿宋_GB2312"/>
          <w:b w:val="0"/>
          <w:bCs w:val="0"/>
          <w:kern w:val="2"/>
          <w:sz w:val="32"/>
          <w:szCs w:val="32"/>
          <w:highlight w:val="none"/>
          <w:u w:val="single"/>
          <w:lang w:val="en-US" w:eastAsia="zh-CN"/>
        </w:rPr>
        <w:t xml:space="preserve">                      </w:t>
      </w:r>
      <w:r>
        <w:rPr>
          <w:rFonts w:hint="eastAsia" w:ascii="仿宋_GB2312" w:hAnsi="仿宋_GB2312" w:eastAsia="仿宋_GB2312" w:cs="仿宋_GB2312"/>
          <w:b w:val="0"/>
          <w:bCs w:val="0"/>
          <w:kern w:val="2"/>
          <w:sz w:val="32"/>
          <w:szCs w:val="32"/>
          <w:highlight w:val="none"/>
          <w:lang w:val="en-GB" w:eastAsia="zh-CN"/>
        </w:rPr>
        <w:t>（以下称乙方）就甲方石灰消化机\SJ-20 10采购经双方协商，达成如下技术协议：</w:t>
      </w:r>
    </w:p>
    <w:p>
      <w:pPr>
        <w:pStyle w:val="4"/>
        <w:ind w:left="0" w:leftChars="0" w:firstLine="0" w:firstLineChars="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b/>
          <w:bCs/>
          <w:sz w:val="30"/>
          <w:szCs w:val="30"/>
          <w:highlight w:val="none"/>
          <w:lang w:val="en-US" w:eastAsia="zh-CN"/>
        </w:rPr>
        <w:t>一、总则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1.本技术协议作为甲方设备订货合同的附件，与订货合同同时生效，具有同等法律效力。合同执行期间双方再协商形成的补充协议和追加条款也具有同等法律效力。它提出设备的功能设计、结构、性能、安装和试验等方面的技术要求。</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2.本技术协议提出的是最低限度的技术要求，并未对一切技术要求作出详细规定，也未充分引述有关标准及规范的条文。乙方应保证提供符合本规范书和相关的国际、国内工业标准的高质量产品及其相应服务，对国家有关安全、环保等强制性标准，必须满足其要求。</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3.乙方提供的设备应是成熟可靠、技术先进的产品，在钢铁行业机组有2家及以上运行超过3年，已证明安全可靠的优质产品。</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4.对于国家明令禁止使用的和已淘汰的产品和设备，一律不准在本工程中使用。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5.若乙方所提供的投标文件前后有不一致的地方，应以更有利于设备安装运行、工程质量为原则，由甲方确定。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6.乙方应按技术规范书中顺序逐条应答，如对本技术规范书有偏差（无论多少）都必须清楚地标示在本技术规范书中的 “差异表”中。否则将认为乙方提供的设备完全符合本技术规范书和标准的要求。</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7. 本技术协议所引用的标准若与乙方所执行的标准发生矛盾时，按较高的标准执行。乙方在设备设计和制造中所涉及的各项规程、规范和标准必须遵循现行最新标准版本。</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8.乙方对所提供的全套系统设备（含辅助系统与设备）负有全责，即包括分包（或采购）的产品。分包（或采购）的产品乙方提出三个厂家供甲方确认，分包（或采购）的产品制造商应按甲方的要求进行，并按最高价计入总价。</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9.在合同签订后，甲方有权因规范、标准、规程发生变化而提出一些补充要求。在设备投料生产前，乙方应在设计上给予修改，具体项目由供需双方共同商定。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10. 在合同签订15天内，按本技术协议的要求，乙方提出合同设备的设计、制造、检验/试验、装配、安装、调试、试运、验收、试验、运行和维护等标准清单给甲方，供甲方确认。</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11.乙方在合同货物制造中，发生侵犯专利的行为时其侵权责任与甲方无关。</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12.乙方须对石灰消化机设计的完整性、合理性和设计质量承担全部责任。</w:t>
      </w: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bCs/>
          <w:kern w:val="2"/>
          <w:sz w:val="30"/>
          <w:szCs w:val="30"/>
          <w:highlight w:val="none"/>
          <w:lang w:val="en-GB" w:eastAsia="zh-CN"/>
        </w:rPr>
      </w:pPr>
      <w:r>
        <w:rPr>
          <w:rFonts w:hint="eastAsia" w:ascii="仿宋_GB2312" w:hAnsi="仿宋_GB2312" w:eastAsia="仿宋_GB2312" w:cs="仿宋_GB2312"/>
          <w:b/>
          <w:bCs/>
          <w:kern w:val="2"/>
          <w:sz w:val="30"/>
          <w:szCs w:val="30"/>
          <w:highlight w:val="none"/>
          <w:lang w:val="en-GB" w:eastAsia="zh-CN"/>
        </w:rPr>
        <w:t>二、供货范围及设备参数</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lang w:val="en-GB" w:eastAsia="zh-CN"/>
        </w:rPr>
      </w:pPr>
      <w:r>
        <w:rPr>
          <w:rFonts w:hint="eastAsia" w:ascii="仿宋_GB2312" w:hAnsi="仿宋_GB2312" w:eastAsia="仿宋_GB2312" w:cs="仿宋_GB2312"/>
          <w:b w:val="0"/>
          <w:bCs w:val="0"/>
          <w:kern w:val="2"/>
          <w:sz w:val="32"/>
          <w:szCs w:val="32"/>
          <w:highlight w:val="none"/>
          <w:lang w:val="en-US" w:eastAsia="zh-CN"/>
        </w:rPr>
        <w:t>1.供货范围</w:t>
      </w:r>
    </w:p>
    <w:tbl>
      <w:tblPr>
        <w:tblStyle w:val="5"/>
        <w:tblW w:w="8529" w:type="dxa"/>
        <w:tblInd w:w="0" w:type="dxa"/>
        <w:tblLayout w:type="fixed"/>
        <w:tblCellMar>
          <w:top w:w="0" w:type="dxa"/>
          <w:left w:w="108" w:type="dxa"/>
          <w:bottom w:w="0" w:type="dxa"/>
          <w:right w:w="108" w:type="dxa"/>
        </w:tblCellMar>
      </w:tblPr>
      <w:tblGrid>
        <w:gridCol w:w="700"/>
        <w:gridCol w:w="1739"/>
        <w:gridCol w:w="2602"/>
        <w:gridCol w:w="1530"/>
        <w:gridCol w:w="1958"/>
      </w:tblGrid>
      <w:tr>
        <w:tblPrEx>
          <w:tblCellMar>
            <w:top w:w="0" w:type="dxa"/>
            <w:left w:w="108" w:type="dxa"/>
            <w:bottom w:w="0" w:type="dxa"/>
            <w:right w:w="108" w:type="dxa"/>
          </w:tblCellMar>
        </w:tblPrEx>
        <w:trPr>
          <w:trHeight w:val="653" w:hRule="atLeast"/>
        </w:trPr>
        <w:tc>
          <w:tcPr>
            <w:tcW w:w="7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序号</w:t>
            </w:r>
          </w:p>
        </w:tc>
        <w:tc>
          <w:tcPr>
            <w:tcW w:w="17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物料名称</w:t>
            </w:r>
          </w:p>
        </w:tc>
        <w:tc>
          <w:tcPr>
            <w:tcW w:w="26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规格型号</w:t>
            </w:r>
          </w:p>
        </w:tc>
        <w:tc>
          <w:tcPr>
            <w:tcW w:w="15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物料编码</w:t>
            </w:r>
          </w:p>
        </w:tc>
        <w:tc>
          <w:tcPr>
            <w:tcW w:w="19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数量</w:t>
            </w:r>
          </w:p>
        </w:tc>
      </w:tr>
      <w:tr>
        <w:tblPrEx>
          <w:tblCellMar>
            <w:top w:w="0" w:type="dxa"/>
            <w:left w:w="108" w:type="dxa"/>
            <w:bottom w:w="0" w:type="dxa"/>
            <w:right w:w="108" w:type="dxa"/>
          </w:tblCellMar>
        </w:tblPrEx>
        <w:trPr>
          <w:trHeight w:val="653" w:hRule="atLeast"/>
        </w:trPr>
        <w:tc>
          <w:tcPr>
            <w:tcW w:w="7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1</w:t>
            </w:r>
          </w:p>
        </w:tc>
        <w:tc>
          <w:tcPr>
            <w:tcW w:w="17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lang w:val="en-US" w:eastAsia="zh-CN"/>
              </w:rPr>
              <w:t>石灰消化机</w:t>
            </w:r>
          </w:p>
        </w:tc>
        <w:tc>
          <w:tcPr>
            <w:tcW w:w="26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default" w:ascii="仿宋_GB2312" w:hAnsi="仿宋_GB2312" w:eastAsia="仿宋_GB2312" w:cs="仿宋_GB2312"/>
                <w:b w:val="0"/>
                <w:bCs w:val="0"/>
                <w:sz w:val="24"/>
                <w:szCs w:val="24"/>
                <w:highlight w:val="none"/>
                <w:lang w:val="en-US" w:eastAsia="zh-CN"/>
              </w:rPr>
              <w:t>SJ-20 10</w:t>
            </w:r>
          </w:p>
        </w:tc>
        <w:tc>
          <w:tcPr>
            <w:tcW w:w="15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default" w:ascii="仿宋_GB2312" w:hAnsi="仿宋_GB2312" w:eastAsia="仿宋_GB2312" w:cs="仿宋_GB2312"/>
                <w:b w:val="0"/>
                <w:bCs w:val="0"/>
                <w:sz w:val="24"/>
                <w:szCs w:val="24"/>
                <w:highlight w:val="none"/>
                <w:lang w:val="en-US" w:eastAsia="zh-CN"/>
              </w:rPr>
              <w:t>70163992</w:t>
            </w:r>
          </w:p>
        </w:tc>
        <w:tc>
          <w:tcPr>
            <w:tcW w:w="19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1台</w:t>
            </w:r>
          </w:p>
        </w:tc>
      </w:tr>
    </w:tbl>
    <w:p>
      <w:pPr>
        <w:pStyle w:val="4"/>
        <w:numPr>
          <w:ilvl w:val="0"/>
          <w:numId w:val="0"/>
        </w:num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2.设备参数</w:t>
      </w:r>
    </w:p>
    <w:tbl>
      <w:tblPr>
        <w:tblStyle w:val="5"/>
        <w:tblW w:w="8649" w:type="dxa"/>
        <w:jc w:val="center"/>
        <w:tblLayout w:type="fixed"/>
        <w:tblCellMar>
          <w:top w:w="0" w:type="dxa"/>
          <w:left w:w="0" w:type="dxa"/>
          <w:bottom w:w="0" w:type="dxa"/>
          <w:right w:w="0" w:type="dxa"/>
        </w:tblCellMar>
      </w:tblPr>
      <w:tblGrid>
        <w:gridCol w:w="1895"/>
        <w:gridCol w:w="4125"/>
        <w:gridCol w:w="2629"/>
      </w:tblGrid>
      <w:tr>
        <w:tblPrEx>
          <w:tblCellMar>
            <w:top w:w="0" w:type="dxa"/>
            <w:left w:w="0" w:type="dxa"/>
            <w:bottom w:w="0" w:type="dxa"/>
            <w:right w:w="0" w:type="dxa"/>
          </w:tblCellMar>
        </w:tblPrEx>
        <w:trPr>
          <w:trHeight w:val="23" w:hRule="atLeast"/>
          <w:jc w:val="center"/>
        </w:trPr>
        <w:tc>
          <w:tcPr>
            <w:tcW w:w="189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项    目</w:t>
            </w:r>
          </w:p>
        </w:tc>
        <w:tc>
          <w:tcPr>
            <w:tcW w:w="412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参数</w:t>
            </w:r>
          </w:p>
        </w:tc>
        <w:tc>
          <w:tcPr>
            <w:tcW w:w="2629"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备注</w:t>
            </w:r>
          </w:p>
        </w:tc>
      </w:tr>
      <w:tr>
        <w:tblPrEx>
          <w:tblCellMar>
            <w:top w:w="0" w:type="dxa"/>
            <w:left w:w="0" w:type="dxa"/>
            <w:bottom w:w="0" w:type="dxa"/>
            <w:right w:w="0" w:type="dxa"/>
          </w:tblCellMar>
        </w:tblPrEx>
        <w:trPr>
          <w:trHeight w:val="23" w:hRule="atLeast"/>
          <w:jc w:val="center"/>
        </w:trPr>
        <w:tc>
          <w:tcPr>
            <w:tcW w:w="189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val="en-US" w:eastAsia="zh-CN"/>
              </w:rPr>
              <w:t>石灰消化机</w:t>
            </w:r>
          </w:p>
        </w:tc>
        <w:tc>
          <w:tcPr>
            <w:tcW w:w="412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val="en-US" w:eastAsia="zh-CN"/>
              </w:rPr>
              <w:t>双轴搅拌机</w:t>
            </w:r>
          </w:p>
        </w:tc>
        <w:tc>
          <w:tcPr>
            <w:tcW w:w="2629"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jc w:val="both"/>
              <w:textAlignment w:val="auto"/>
              <w:rPr>
                <w:rFonts w:hint="default"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外观尺寸长不大于3.5米，宽不大于1米</w:t>
            </w:r>
          </w:p>
        </w:tc>
      </w:tr>
      <w:tr>
        <w:tblPrEx>
          <w:tblCellMar>
            <w:top w:w="0" w:type="dxa"/>
            <w:left w:w="0" w:type="dxa"/>
            <w:bottom w:w="0" w:type="dxa"/>
            <w:right w:w="0" w:type="dxa"/>
          </w:tblCellMar>
        </w:tblPrEx>
        <w:trPr>
          <w:trHeight w:val="23" w:hRule="atLeast"/>
          <w:jc w:val="center"/>
        </w:trPr>
        <w:tc>
          <w:tcPr>
            <w:tcW w:w="189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处理量</w:t>
            </w:r>
          </w:p>
        </w:tc>
        <w:tc>
          <w:tcPr>
            <w:tcW w:w="412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sz w:val="24"/>
                <w:szCs w:val="24"/>
              </w:rPr>
              <w:t>10m³/h（以粒径≤5mm生石灰为基准，处理量偏差≤±5%）</w:t>
            </w:r>
          </w:p>
        </w:tc>
        <w:tc>
          <w:tcPr>
            <w:tcW w:w="2629"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容积≤3m³（确保体积紧凑，适配现场场地）</w:t>
            </w:r>
          </w:p>
        </w:tc>
      </w:tr>
      <w:tr>
        <w:tblPrEx>
          <w:tblCellMar>
            <w:top w:w="0" w:type="dxa"/>
            <w:left w:w="0" w:type="dxa"/>
            <w:bottom w:w="0" w:type="dxa"/>
            <w:right w:w="0" w:type="dxa"/>
          </w:tblCellMar>
        </w:tblPrEx>
        <w:trPr>
          <w:trHeight w:val="316" w:hRule="atLeast"/>
          <w:jc w:val="center"/>
        </w:trPr>
        <w:tc>
          <w:tcPr>
            <w:tcW w:w="189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24"/>
                <w:szCs w:val="24"/>
                <w:highlight w:val="none"/>
              </w:rPr>
            </w:pPr>
            <w:r>
              <w:rPr>
                <w:rFonts w:hint="eastAsia" w:ascii="仿宋" w:hAnsi="仿宋" w:eastAsia="仿宋" w:cs="仿宋"/>
                <w:sz w:val="24"/>
                <w:szCs w:val="24"/>
              </w:rPr>
              <w:t>进料粒度</w:t>
            </w:r>
          </w:p>
        </w:tc>
        <w:tc>
          <w:tcPr>
            <w:tcW w:w="412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sz w:val="24"/>
                <w:szCs w:val="24"/>
              </w:rPr>
              <w:t>生石灰粒径≤5mm，含水率≤5%</w:t>
            </w:r>
          </w:p>
        </w:tc>
        <w:tc>
          <w:tcPr>
            <w:tcW w:w="2629"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进料口直径DN200</w:t>
            </w:r>
          </w:p>
        </w:tc>
      </w:tr>
      <w:tr>
        <w:tblPrEx>
          <w:tblCellMar>
            <w:top w:w="0" w:type="dxa"/>
            <w:left w:w="0" w:type="dxa"/>
            <w:bottom w:w="0" w:type="dxa"/>
            <w:right w:w="0" w:type="dxa"/>
          </w:tblCellMar>
        </w:tblPrEx>
        <w:trPr>
          <w:trHeight w:val="23" w:hRule="atLeast"/>
          <w:jc w:val="center"/>
        </w:trPr>
        <w:tc>
          <w:tcPr>
            <w:tcW w:w="189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24"/>
                <w:szCs w:val="24"/>
                <w:highlight w:val="none"/>
              </w:rPr>
            </w:pPr>
            <w:r>
              <w:rPr>
                <w:rFonts w:hint="eastAsia" w:ascii="仿宋" w:hAnsi="仿宋" w:eastAsia="仿宋" w:cs="仿宋"/>
                <w:sz w:val="24"/>
                <w:szCs w:val="24"/>
              </w:rPr>
              <w:t>出料要求</w:t>
            </w:r>
          </w:p>
        </w:tc>
        <w:tc>
          <w:tcPr>
            <w:tcW w:w="412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sz w:val="24"/>
                <w:szCs w:val="24"/>
              </w:rPr>
              <w:t>消化后石灰乳浓度</w:t>
            </w:r>
            <w:r>
              <w:rPr>
                <w:rFonts w:hint="eastAsia" w:ascii="仿宋" w:hAnsi="仿宋" w:eastAsia="仿宋" w:cs="仿宋"/>
                <w:sz w:val="24"/>
                <w:szCs w:val="24"/>
                <w:lang w:eastAsia="zh-CN"/>
              </w:rPr>
              <w:t>10%～20%</w:t>
            </w:r>
            <w:r>
              <w:rPr>
                <w:rFonts w:hint="eastAsia" w:ascii="仿宋" w:hAnsi="仿宋" w:eastAsia="仿宋" w:cs="仿宋"/>
                <w:sz w:val="24"/>
                <w:szCs w:val="24"/>
              </w:rPr>
              <w:t>（可调节），无未消化生石灰颗粒（粒径≥1mm颗粒含量≤0.5%</w:t>
            </w:r>
            <w:r>
              <w:rPr>
                <w:rFonts w:hint="eastAsia" w:ascii="仿宋" w:hAnsi="仿宋" w:eastAsia="仿宋" w:cs="仿宋"/>
                <w:sz w:val="24"/>
                <w:szCs w:val="24"/>
                <w:lang w:eastAsia="zh-CN"/>
              </w:rPr>
              <w:t>）</w:t>
            </w:r>
          </w:p>
        </w:tc>
        <w:tc>
          <w:tcPr>
            <w:tcW w:w="2629"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出料口直径DN150</w:t>
            </w:r>
          </w:p>
        </w:tc>
      </w:tr>
      <w:tr>
        <w:tblPrEx>
          <w:tblCellMar>
            <w:top w:w="0" w:type="dxa"/>
            <w:left w:w="0" w:type="dxa"/>
            <w:bottom w:w="0" w:type="dxa"/>
            <w:right w:w="0" w:type="dxa"/>
          </w:tblCellMar>
        </w:tblPrEx>
        <w:trPr>
          <w:trHeight w:val="23" w:hRule="atLeast"/>
          <w:jc w:val="center"/>
        </w:trPr>
        <w:tc>
          <w:tcPr>
            <w:tcW w:w="189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配水管</w:t>
            </w:r>
          </w:p>
        </w:tc>
        <w:tc>
          <w:tcPr>
            <w:tcW w:w="412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DN50</w:t>
            </w:r>
          </w:p>
        </w:tc>
        <w:tc>
          <w:tcPr>
            <w:tcW w:w="2629"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配水总管</w:t>
            </w:r>
          </w:p>
        </w:tc>
      </w:tr>
      <w:tr>
        <w:tblPrEx>
          <w:tblCellMar>
            <w:top w:w="0" w:type="dxa"/>
            <w:left w:w="0" w:type="dxa"/>
            <w:bottom w:w="0" w:type="dxa"/>
            <w:right w:w="0" w:type="dxa"/>
          </w:tblCellMar>
        </w:tblPrEx>
        <w:trPr>
          <w:trHeight w:val="23" w:hRule="atLeast"/>
          <w:jc w:val="center"/>
        </w:trPr>
        <w:tc>
          <w:tcPr>
            <w:tcW w:w="189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配套功率</w:t>
            </w:r>
          </w:p>
        </w:tc>
        <w:tc>
          <w:tcPr>
            <w:tcW w:w="412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7.5kW</w:t>
            </w:r>
          </w:p>
        </w:tc>
        <w:tc>
          <w:tcPr>
            <w:tcW w:w="2629"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24"/>
                <w:szCs w:val="24"/>
                <w:highlight w:val="none"/>
                <w:lang w:val="en-US" w:eastAsia="zh-CN"/>
              </w:rPr>
            </w:pPr>
          </w:p>
        </w:tc>
      </w:tr>
      <w:tr>
        <w:tblPrEx>
          <w:tblCellMar>
            <w:top w:w="0" w:type="dxa"/>
            <w:left w:w="0" w:type="dxa"/>
            <w:bottom w:w="0" w:type="dxa"/>
            <w:right w:w="0" w:type="dxa"/>
          </w:tblCellMar>
        </w:tblPrEx>
        <w:trPr>
          <w:trHeight w:val="23" w:hRule="atLeast"/>
          <w:jc w:val="center"/>
        </w:trPr>
        <w:tc>
          <w:tcPr>
            <w:tcW w:w="189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消化率</w:t>
            </w:r>
          </w:p>
        </w:tc>
        <w:tc>
          <w:tcPr>
            <w:tcW w:w="412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生石灰消化率</w:t>
            </w:r>
            <w:r>
              <w:rPr>
                <w:rFonts w:ascii="Arial" w:hAnsi="Arial" w:eastAsia="等线" w:cs="Arial"/>
                <w:sz w:val="22"/>
              </w:rPr>
              <w:t>≥95%</w:t>
            </w:r>
          </w:p>
        </w:tc>
        <w:tc>
          <w:tcPr>
            <w:tcW w:w="2629"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24"/>
                <w:szCs w:val="24"/>
                <w:highlight w:val="none"/>
                <w:lang w:val="en-US" w:eastAsia="zh-CN"/>
              </w:rPr>
            </w:pPr>
          </w:p>
        </w:tc>
      </w:tr>
    </w:tbl>
    <w:p>
      <w:pPr>
        <w:pStyle w:val="4"/>
        <w:ind w:left="0" w:leftChars="0" w:firstLine="0" w:firstLineChars="0"/>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三、制造技术要求</w:t>
      </w:r>
    </w:p>
    <w:p>
      <w:pPr>
        <w:pStyle w:val="4"/>
        <w:ind w:left="0" w:leftChars="0" w:firstLine="640" w:firstLineChars="200"/>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1.设备安装位置：动力厂水二作业区</w:t>
      </w:r>
    </w:p>
    <w:p>
      <w:pPr>
        <w:pStyle w:val="4"/>
        <w:ind w:left="0" w:leftChars="0" w:firstLine="640" w:firstLineChars="200"/>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2.工作介质或使用工况：石灰乳液，连续运行</w:t>
      </w:r>
    </w:p>
    <w:p>
      <w:pPr>
        <w:pStyle w:val="4"/>
        <w:ind w:left="0" w:leftChars="0" w:firstLine="640" w:firstLineChars="200"/>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3.材质要求</w:t>
      </w:r>
    </w:p>
    <w:p>
      <w:pPr>
        <w:pStyle w:val="4"/>
        <w:ind w:left="0" w:leftChars="0" w:firstLine="560" w:firstLineChars="200"/>
        <w:rPr>
          <w:rFonts w:hint="eastAsia" w:ascii="仿宋_GB2312" w:hAnsi="仿宋_GB2312" w:eastAsia="仿宋_GB2312" w:cs="仿宋_GB2312"/>
          <w:b w:val="0"/>
          <w:bCs w:val="0"/>
          <w:kern w:val="2"/>
          <w:sz w:val="28"/>
          <w:szCs w:val="28"/>
          <w:highlight w:val="none"/>
          <w:lang w:val="en-US" w:eastAsia="zh-CN"/>
        </w:rPr>
      </w:pPr>
      <w:r>
        <w:rPr>
          <w:rFonts w:hint="eastAsia" w:ascii="仿宋_GB2312" w:hAnsi="仿宋_GB2312" w:eastAsia="仿宋_GB2312" w:cs="仿宋_GB2312"/>
          <w:b w:val="0"/>
          <w:bCs w:val="0"/>
          <w:kern w:val="2"/>
          <w:sz w:val="28"/>
          <w:szCs w:val="28"/>
          <w:highlight w:val="none"/>
          <w:lang w:val="en-US" w:eastAsia="zh-CN"/>
        </w:rPr>
        <w:t>主要零部件材料表：</w:t>
      </w:r>
    </w:p>
    <w:tbl>
      <w:tblPr>
        <w:tblStyle w:val="5"/>
        <w:tblW w:w="0" w:type="auto"/>
        <w:jc w:val="center"/>
        <w:tblLayout w:type="fixed"/>
        <w:tblCellMar>
          <w:top w:w="0" w:type="dxa"/>
          <w:left w:w="108" w:type="dxa"/>
          <w:bottom w:w="0" w:type="dxa"/>
          <w:right w:w="108" w:type="dxa"/>
        </w:tblCellMar>
      </w:tblPr>
      <w:tblGrid>
        <w:gridCol w:w="1812"/>
        <w:gridCol w:w="2685"/>
        <w:gridCol w:w="3807"/>
      </w:tblGrid>
      <w:tr>
        <w:tblPrEx>
          <w:tblCellMar>
            <w:top w:w="0" w:type="dxa"/>
            <w:left w:w="108" w:type="dxa"/>
            <w:bottom w:w="0" w:type="dxa"/>
            <w:right w:w="108" w:type="dxa"/>
          </w:tblCellMar>
        </w:tblPrEx>
        <w:trPr>
          <w:trHeight w:val="454" w:hRule="exact"/>
          <w:jc w:val="center"/>
        </w:trPr>
        <w:tc>
          <w:tcPr>
            <w:tcW w:w="181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零件名称</w:t>
            </w:r>
          </w:p>
        </w:tc>
        <w:tc>
          <w:tcPr>
            <w:tcW w:w="268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材料名称</w:t>
            </w:r>
          </w:p>
        </w:tc>
        <w:tc>
          <w:tcPr>
            <w:tcW w:w="380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备注</w:t>
            </w:r>
          </w:p>
        </w:tc>
      </w:tr>
      <w:tr>
        <w:tblPrEx>
          <w:tblCellMar>
            <w:top w:w="0" w:type="dxa"/>
            <w:left w:w="108" w:type="dxa"/>
            <w:bottom w:w="0" w:type="dxa"/>
            <w:right w:w="108" w:type="dxa"/>
          </w:tblCellMar>
        </w:tblPrEx>
        <w:trPr>
          <w:trHeight w:val="799" w:hRule="exact"/>
          <w:jc w:val="center"/>
        </w:trPr>
        <w:tc>
          <w:tcPr>
            <w:tcW w:w="181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箱体</w:t>
            </w:r>
          </w:p>
        </w:tc>
        <w:tc>
          <w:tcPr>
            <w:tcW w:w="268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_GB2312" w:hAnsi="仿宋_GB2312" w:eastAsia="仿宋_GB2312" w:cs="仿宋_GB2312"/>
                <w:b w:val="0"/>
                <w:bCs w:val="0"/>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不锈钢304</w:t>
            </w:r>
          </w:p>
        </w:tc>
        <w:tc>
          <w:tcPr>
            <w:tcW w:w="380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壁厚不小于5mm，模块化组装（单个组装单元重量不大于100公斤）</w:t>
            </w:r>
          </w:p>
        </w:tc>
      </w:tr>
      <w:tr>
        <w:tblPrEx>
          <w:tblCellMar>
            <w:top w:w="0" w:type="dxa"/>
            <w:left w:w="108" w:type="dxa"/>
            <w:bottom w:w="0" w:type="dxa"/>
            <w:right w:w="108" w:type="dxa"/>
          </w:tblCellMar>
        </w:tblPrEx>
        <w:trPr>
          <w:trHeight w:val="739" w:hRule="exact"/>
          <w:jc w:val="center"/>
        </w:trPr>
        <w:tc>
          <w:tcPr>
            <w:tcW w:w="181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搅拌轴</w:t>
            </w:r>
          </w:p>
        </w:tc>
        <w:tc>
          <w:tcPr>
            <w:tcW w:w="268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合金结构钢42</w:t>
            </w:r>
            <w:r>
              <w:rPr>
                <w:rFonts w:hint="eastAsia" w:ascii="仿宋_GB2312" w:hAnsi="仿宋_GB2312" w:eastAsia="仿宋_GB2312" w:cs="仿宋_GB2312"/>
                <w:b w:val="0"/>
                <w:bCs w:val="0"/>
                <w:sz w:val="24"/>
                <w:szCs w:val="24"/>
                <w:highlight w:val="none"/>
              </w:rPr>
              <w:t>Cr</w:t>
            </w:r>
            <w:r>
              <w:rPr>
                <w:rFonts w:hint="eastAsia" w:ascii="仿宋_GB2312" w:hAnsi="仿宋_GB2312" w:eastAsia="仿宋_GB2312" w:cs="仿宋_GB2312"/>
                <w:b w:val="0"/>
                <w:bCs w:val="0"/>
                <w:sz w:val="24"/>
                <w:szCs w:val="24"/>
                <w:highlight w:val="none"/>
                <w:lang w:val="en-US" w:eastAsia="zh-CN"/>
              </w:rPr>
              <w:t>MO</w:t>
            </w:r>
          </w:p>
        </w:tc>
        <w:tc>
          <w:tcPr>
            <w:tcW w:w="380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与减速机采用国标法兰连接，搅拌轴分两段法兰（不锈钢）连接</w:t>
            </w:r>
          </w:p>
        </w:tc>
      </w:tr>
      <w:tr>
        <w:tblPrEx>
          <w:tblCellMar>
            <w:top w:w="0" w:type="dxa"/>
            <w:left w:w="108" w:type="dxa"/>
            <w:bottom w:w="0" w:type="dxa"/>
            <w:right w:w="108" w:type="dxa"/>
          </w:tblCellMar>
        </w:tblPrEx>
        <w:trPr>
          <w:trHeight w:val="454" w:hRule="exact"/>
          <w:jc w:val="center"/>
        </w:trPr>
        <w:tc>
          <w:tcPr>
            <w:tcW w:w="181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搅拌叶片</w:t>
            </w:r>
          </w:p>
        </w:tc>
        <w:tc>
          <w:tcPr>
            <w:tcW w:w="268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eastAsia="zh-CN"/>
              </w:rPr>
              <w:t>耐磨钢</w:t>
            </w:r>
            <w:r>
              <w:rPr>
                <w:rFonts w:hint="eastAsia" w:ascii="仿宋_GB2312" w:hAnsi="仿宋_GB2312" w:eastAsia="仿宋_GB2312" w:cs="仿宋_GB2312"/>
                <w:b w:val="0"/>
                <w:bCs w:val="0"/>
                <w:sz w:val="24"/>
                <w:szCs w:val="24"/>
                <w:highlight w:val="none"/>
              </w:rPr>
              <w:t>Cr</w:t>
            </w:r>
            <w:r>
              <w:rPr>
                <w:rFonts w:hint="eastAsia" w:ascii="仿宋_GB2312" w:hAnsi="仿宋_GB2312" w:eastAsia="仿宋_GB2312" w:cs="仿宋_GB2312"/>
                <w:b w:val="0"/>
                <w:bCs w:val="0"/>
                <w:sz w:val="24"/>
                <w:szCs w:val="24"/>
                <w:highlight w:val="none"/>
                <w:lang w:val="en-US" w:eastAsia="zh-CN"/>
              </w:rPr>
              <w:t>26</w:t>
            </w:r>
          </w:p>
        </w:tc>
        <w:tc>
          <w:tcPr>
            <w:tcW w:w="380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与搅拌轴螺栓（不锈钢304）连接</w:t>
            </w:r>
          </w:p>
        </w:tc>
      </w:tr>
      <w:tr>
        <w:tblPrEx>
          <w:tblCellMar>
            <w:top w:w="0" w:type="dxa"/>
            <w:left w:w="108" w:type="dxa"/>
            <w:bottom w:w="0" w:type="dxa"/>
            <w:right w:w="108" w:type="dxa"/>
          </w:tblCellMar>
        </w:tblPrEx>
        <w:trPr>
          <w:trHeight w:val="454" w:hRule="exact"/>
          <w:jc w:val="center"/>
        </w:trPr>
        <w:tc>
          <w:tcPr>
            <w:tcW w:w="181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配水管</w:t>
            </w:r>
          </w:p>
        </w:tc>
        <w:tc>
          <w:tcPr>
            <w:tcW w:w="268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rPr>
              <w:t>不锈钢</w:t>
            </w:r>
            <w:r>
              <w:rPr>
                <w:rFonts w:hint="eastAsia" w:ascii="仿宋_GB2312" w:hAnsi="仿宋_GB2312" w:eastAsia="仿宋_GB2312" w:cs="仿宋_GB2312"/>
                <w:b w:val="0"/>
                <w:bCs w:val="0"/>
                <w:sz w:val="24"/>
                <w:szCs w:val="24"/>
                <w:highlight w:val="none"/>
                <w:lang w:val="en-US" w:eastAsia="zh-CN"/>
              </w:rPr>
              <w:t>304</w:t>
            </w:r>
          </w:p>
        </w:tc>
        <w:tc>
          <w:tcPr>
            <w:tcW w:w="380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lang w:val="en-US" w:eastAsia="zh-CN"/>
              </w:rPr>
              <w:t>进水总管接口法兰（DN50）连接</w:t>
            </w:r>
          </w:p>
        </w:tc>
      </w:tr>
      <w:tr>
        <w:tblPrEx>
          <w:tblCellMar>
            <w:top w:w="0" w:type="dxa"/>
            <w:left w:w="108" w:type="dxa"/>
            <w:bottom w:w="0" w:type="dxa"/>
            <w:right w:w="108" w:type="dxa"/>
          </w:tblCellMar>
        </w:tblPrEx>
        <w:trPr>
          <w:trHeight w:val="454" w:hRule="exact"/>
          <w:jc w:val="center"/>
        </w:trPr>
        <w:tc>
          <w:tcPr>
            <w:tcW w:w="181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轴封</w:t>
            </w:r>
          </w:p>
        </w:tc>
        <w:tc>
          <w:tcPr>
            <w:tcW w:w="268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eastAsia="zh-CN"/>
              </w:rPr>
              <w:t>橡胶套</w:t>
            </w:r>
            <w:r>
              <w:rPr>
                <w:rFonts w:hint="eastAsia" w:ascii="仿宋_GB2312" w:hAnsi="仿宋_GB2312" w:eastAsia="仿宋_GB2312" w:cs="仿宋_GB2312"/>
                <w:b w:val="0"/>
                <w:bCs w:val="0"/>
                <w:sz w:val="24"/>
                <w:szCs w:val="24"/>
                <w:highlight w:val="none"/>
                <w:lang w:val="en-US" w:eastAsia="zh-CN"/>
              </w:rPr>
              <w:t>+机械密封</w:t>
            </w:r>
          </w:p>
        </w:tc>
        <w:tc>
          <w:tcPr>
            <w:tcW w:w="380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p>
        </w:tc>
      </w:tr>
      <w:tr>
        <w:tblPrEx>
          <w:tblCellMar>
            <w:top w:w="0" w:type="dxa"/>
            <w:left w:w="108" w:type="dxa"/>
            <w:bottom w:w="0" w:type="dxa"/>
            <w:right w:w="108" w:type="dxa"/>
          </w:tblCellMar>
        </w:tblPrEx>
        <w:trPr>
          <w:trHeight w:val="454" w:hRule="exact"/>
          <w:jc w:val="center"/>
        </w:trPr>
        <w:tc>
          <w:tcPr>
            <w:tcW w:w="181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传动齿轮</w:t>
            </w:r>
          </w:p>
        </w:tc>
        <w:tc>
          <w:tcPr>
            <w:tcW w:w="268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合金结构钢40</w:t>
            </w:r>
            <w:r>
              <w:rPr>
                <w:rFonts w:hint="eastAsia" w:ascii="仿宋_GB2312" w:hAnsi="仿宋_GB2312" w:eastAsia="仿宋_GB2312" w:cs="仿宋_GB2312"/>
                <w:b w:val="0"/>
                <w:bCs w:val="0"/>
                <w:sz w:val="24"/>
                <w:szCs w:val="24"/>
                <w:highlight w:val="none"/>
              </w:rPr>
              <w:t>Cr</w:t>
            </w:r>
          </w:p>
        </w:tc>
        <w:tc>
          <w:tcPr>
            <w:tcW w:w="380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eastAsia="zh-CN"/>
              </w:rPr>
              <w:t>锻后整体调质</w:t>
            </w:r>
            <w:r>
              <w:rPr>
                <w:rFonts w:hint="eastAsia" w:ascii="仿宋_GB2312" w:hAnsi="仿宋_GB2312" w:eastAsia="仿宋_GB2312" w:cs="仿宋_GB2312"/>
                <w:b w:val="0"/>
                <w:bCs w:val="0"/>
                <w:sz w:val="24"/>
                <w:szCs w:val="24"/>
                <w:highlight w:val="none"/>
                <w:lang w:val="en-US" w:eastAsia="zh-CN"/>
              </w:rPr>
              <w:t>+齿面高频淬火</w:t>
            </w:r>
          </w:p>
        </w:tc>
      </w:tr>
      <w:tr>
        <w:tblPrEx>
          <w:tblCellMar>
            <w:top w:w="0" w:type="dxa"/>
            <w:left w:w="108" w:type="dxa"/>
            <w:bottom w:w="0" w:type="dxa"/>
            <w:right w:w="108" w:type="dxa"/>
          </w:tblCellMar>
        </w:tblPrEx>
        <w:trPr>
          <w:trHeight w:val="454" w:hRule="exact"/>
          <w:jc w:val="center"/>
        </w:trPr>
        <w:tc>
          <w:tcPr>
            <w:tcW w:w="181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减速机</w:t>
            </w:r>
          </w:p>
        </w:tc>
        <w:tc>
          <w:tcPr>
            <w:tcW w:w="268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p>
        </w:tc>
        <w:tc>
          <w:tcPr>
            <w:tcW w:w="380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卧式摆线针减速机，国内知名品牌</w:t>
            </w:r>
          </w:p>
        </w:tc>
      </w:tr>
      <w:tr>
        <w:tblPrEx>
          <w:tblCellMar>
            <w:top w:w="0" w:type="dxa"/>
            <w:left w:w="108" w:type="dxa"/>
            <w:bottom w:w="0" w:type="dxa"/>
            <w:right w:w="108" w:type="dxa"/>
          </w:tblCellMar>
        </w:tblPrEx>
        <w:trPr>
          <w:trHeight w:val="454" w:hRule="exact"/>
          <w:jc w:val="center"/>
        </w:trPr>
        <w:tc>
          <w:tcPr>
            <w:tcW w:w="181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电机</w:t>
            </w:r>
          </w:p>
        </w:tc>
        <w:tc>
          <w:tcPr>
            <w:tcW w:w="268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lang w:val="en-US" w:eastAsia="zh-CN"/>
              </w:rPr>
              <w:t>功率7.5kW</w:t>
            </w:r>
          </w:p>
        </w:tc>
        <w:tc>
          <w:tcPr>
            <w:tcW w:w="380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lang w:val="en-US" w:eastAsia="zh-CN"/>
              </w:rPr>
              <w:t>一级能效</w:t>
            </w:r>
          </w:p>
        </w:tc>
      </w:tr>
      <w:tr>
        <w:tblPrEx>
          <w:tblCellMar>
            <w:top w:w="0" w:type="dxa"/>
            <w:left w:w="108" w:type="dxa"/>
            <w:bottom w:w="0" w:type="dxa"/>
            <w:right w:w="108" w:type="dxa"/>
          </w:tblCellMar>
        </w:tblPrEx>
        <w:trPr>
          <w:trHeight w:val="454" w:hRule="exact"/>
          <w:jc w:val="center"/>
        </w:trPr>
        <w:tc>
          <w:tcPr>
            <w:tcW w:w="181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公共</w:t>
            </w:r>
            <w:r>
              <w:rPr>
                <w:rFonts w:hint="eastAsia" w:ascii="仿宋_GB2312" w:hAnsi="仿宋_GB2312" w:eastAsia="仿宋_GB2312" w:cs="仿宋_GB2312"/>
                <w:b w:val="0"/>
                <w:bCs w:val="0"/>
                <w:sz w:val="24"/>
                <w:szCs w:val="24"/>
                <w:highlight w:val="none"/>
              </w:rPr>
              <w:t>底座</w:t>
            </w:r>
          </w:p>
        </w:tc>
        <w:tc>
          <w:tcPr>
            <w:tcW w:w="268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普材</w:t>
            </w:r>
          </w:p>
        </w:tc>
        <w:tc>
          <w:tcPr>
            <w:tcW w:w="380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Q235B</w:t>
            </w:r>
          </w:p>
        </w:tc>
      </w:tr>
    </w:tbl>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4.设备安装尺寸要求</w:t>
      </w:r>
    </w:p>
    <w:p>
      <w:pPr>
        <w:ind w:firstLine="640" w:firstLineChars="200"/>
        <w:rPr>
          <w:rFonts w:hint="eastAsia"/>
          <w:sz w:val="32"/>
          <w:szCs w:val="32"/>
          <w:highlight w:val="none"/>
          <w:lang w:val="en-US" w:eastAsia="zh-CN"/>
        </w:rPr>
      </w:pPr>
      <w:r>
        <w:rPr>
          <w:rFonts w:hint="eastAsia" w:ascii="仿宋_GB2312" w:hAnsi="仿宋_GB2312" w:eastAsia="仿宋_GB2312" w:cs="仿宋_GB2312"/>
          <w:sz w:val="32"/>
          <w:szCs w:val="32"/>
          <w:highlight w:val="none"/>
          <w:lang w:val="en-US" w:eastAsia="zh-CN"/>
        </w:rPr>
        <w:t>设备供货单位负责与现场匹配的接口技术问题，本次采购的石灰消化机需满足现场的安装方向及外观尺寸。因现场空间较小，石灰消化机安装尺寸必须满足设备参数中的要求，进料口、出料口、排风口、配水管接口必须与现场接口规格及位置匹配。</w:t>
      </w:r>
      <w:bookmarkStart w:id="0" w:name="_GoBack"/>
      <w:bookmarkEnd w:id="0"/>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5.石灰消化机技术要求</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5.1乙方提供技术先进，结构合理、安全、成熟可靠并符合国家有关标准的产品。</w:t>
      </w:r>
    </w:p>
    <w:p>
      <w:pPr>
        <w:spacing w:before="120" w:after="120" w:line="288" w:lineRule="auto"/>
        <w:ind w:left="0" w:firstLine="640" w:firstLineChars="200"/>
        <w:jc w:val="left"/>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5.2现场无起重设施，设备需采用模块化拆分设计，箱体分为2-3段拼接安装，搅拌轴分2段法兰连接组装，进料口、排风口、观察口与箱体盖板分段拼接螺栓紧固安装，出料口上方观察口直径不小于DN200，配套孔盖（快拆设计）。箱体内壁光滑，导流结构合理，运行过程中无明显结垢，连续运行30天内无需清理结垢。</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5.3箱体拼接采用螺栓连接，箱体外部设置合理的加强筋防止箱体变形，连接处有定位孔保证现场组装的精度，密封垫选用氟橡胶，可在强碱性（石灰乳）100℃环境下使用寿命不小于5年。</w:t>
      </w:r>
    </w:p>
    <w:p>
      <w:pPr>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5.4搅拌桨采用桨叶式结构，搅拌叶片与搅拌轴螺栓连接；搅拌轴强度必须满足石灰乳配置最大工作量下的抗扭强度；搅拌叶片采用耐磨合金钢，数量满足生石灰消化率≥95%的要求。搅拌叶片与箱体间隙不大于10mm，</w:t>
      </w:r>
    </w:p>
    <w:p>
      <w:pPr>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5.5双轴传动齿轮采用合金结构钢40Cr，锻后做整体调质，齿面高频淬火处理，调质硬度220-250HB，齿面硬度52-58RC，表面做发黑/磷化并涂防锈油。</w:t>
      </w:r>
    </w:p>
    <w:p>
      <w:pPr>
        <w:ind w:firstLine="640" w:firstLineChars="200"/>
        <w:rPr>
          <w:rFonts w:hint="eastAsia" w:ascii="仿宋_GB2312" w:hAnsi="仿宋_GB2312" w:eastAsia="仿宋_GB2312" w:cs="仿宋_GB2312"/>
          <w:sz w:val="32"/>
          <w:szCs w:val="32"/>
          <w:highlight w:val="yellow"/>
          <w:lang w:val="en-US" w:eastAsia="zh-CN"/>
        </w:rPr>
      </w:pPr>
      <w:r>
        <w:rPr>
          <w:rFonts w:hint="eastAsia" w:ascii="仿宋_GB2312" w:hAnsi="仿宋_GB2312" w:eastAsia="仿宋_GB2312" w:cs="仿宋_GB2312"/>
          <w:sz w:val="32"/>
          <w:szCs w:val="32"/>
          <w:highlight w:val="none"/>
          <w:lang w:val="en-US" w:eastAsia="zh-CN"/>
        </w:rPr>
        <w:t>5.6消化机在额定处理量下，生石灰消化率≥95%，消化后石灰乳均匀度好，无明显分层现象，静置30分钟后沉淀量≤5%（按容积计）。</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5.7消化机设备连续运行72小时无故障，搅拌系统无卡滞、异响，电机温升≤80K，运行噪音≤85dB(A）（距离设备1m处测量）。</w:t>
      </w:r>
    </w:p>
    <w:p>
      <w:pPr>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5.8所有外露的转动部位必须设置可拆卸的防护罩，防护罩厚度不小于3mm，防护间隙不大于10mm，外表喷涂红色底漆，并标识旋转方向（黄色箭头）。</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5.9乙方应提供设备产品设计、制造、质量检验、交货及验收应遵照的规范和标准。</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5.10乙方应随设备供货提供该设备的装配资料、材质证明、装箱单、实验报告、产品说明书、产品合格证随主设备一同发运现场提供给甲方。</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5.11乙方提供的消化机功能完整，技术先进成熟，所供设备均按最新标准设计和制造，在系统正常合理工况下能满足安全和持续运行的要求。</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5.12消化机附带原装箱体密封垫一套，轴封（橡胶套+机械密封）一套。</w:t>
      </w:r>
    </w:p>
    <w:p>
      <w:pPr>
        <w:spacing w:line="360" w:lineRule="auto"/>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6.电机技术要求</w:t>
      </w:r>
    </w:p>
    <w:p>
      <w:pPr>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highlight w:val="none"/>
          <w:lang w:val="en-US" w:eastAsia="zh-CN"/>
        </w:rPr>
        <w:t>6.1电机</w:t>
      </w:r>
      <w:r>
        <w:rPr>
          <w:rFonts w:hint="eastAsia" w:ascii="仿宋_GB2312" w:hAnsi="仿宋_GB2312" w:eastAsia="仿宋_GB2312" w:cs="仿宋_GB2312"/>
          <w:color w:val="000000"/>
          <w:sz w:val="32"/>
          <w:szCs w:val="32"/>
          <w:highlight w:val="none"/>
        </w:rPr>
        <w:t xml:space="preserve">三相异步电动机   </w:t>
      </w:r>
      <w:r>
        <w:rPr>
          <w:rFonts w:hint="eastAsia" w:ascii="仿宋_GB2312" w:hAnsi="仿宋_GB2312" w:eastAsia="仿宋_GB2312" w:cs="仿宋_GB2312"/>
          <w:b/>
          <w:sz w:val="32"/>
          <w:szCs w:val="32"/>
        </w:rPr>
        <w:t xml:space="preserve"> </w:t>
      </w:r>
    </w:p>
    <w:p>
      <w:pPr>
        <w:spacing w:line="360" w:lineRule="auto"/>
        <w:ind w:firstLine="800" w:firstLineChars="250"/>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能效等级</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一级能效</w:t>
      </w:r>
    </w:p>
    <w:p>
      <w:pPr>
        <w:spacing w:line="360" w:lineRule="auto"/>
        <w:ind w:firstLine="800" w:firstLineChars="25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功率：    </w:t>
      </w:r>
      <w:r>
        <w:rPr>
          <w:rFonts w:hint="eastAsia" w:ascii="仿宋_GB2312" w:hAnsi="仿宋_GB2312" w:eastAsia="仿宋_GB2312" w:cs="仿宋_GB2312"/>
          <w:color w:val="000000"/>
          <w:sz w:val="32"/>
          <w:szCs w:val="32"/>
          <w:lang w:val="en-US" w:eastAsia="zh-CN"/>
        </w:rPr>
        <w:t>7.5kW</w:t>
      </w:r>
      <w:r>
        <w:rPr>
          <w:rFonts w:hint="eastAsia" w:ascii="仿宋_GB2312" w:hAnsi="仿宋_GB2312" w:eastAsia="仿宋_GB2312" w:cs="仿宋_GB2312"/>
          <w:color w:val="000000"/>
          <w:sz w:val="32"/>
          <w:szCs w:val="32"/>
        </w:rPr>
        <w:t xml:space="preserve">   </w:t>
      </w:r>
    </w:p>
    <w:p>
      <w:pPr>
        <w:spacing w:line="360" w:lineRule="auto"/>
        <w:ind w:firstLine="800" w:firstLineChars="25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电压等级：380V</w:t>
      </w:r>
    </w:p>
    <w:p>
      <w:pPr>
        <w:spacing w:line="360" w:lineRule="auto"/>
        <w:ind w:firstLine="800" w:firstLineChars="25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转速：  </w:t>
      </w:r>
      <w:r>
        <w:rPr>
          <w:rFonts w:hint="eastAsia" w:ascii="仿宋_GB2312" w:hAnsi="仿宋_GB2312" w:eastAsia="仿宋_GB2312" w:cs="仿宋_GB2312"/>
          <w:color w:val="000000"/>
          <w:sz w:val="32"/>
          <w:szCs w:val="32"/>
          <w:lang w:val="en-US" w:eastAsia="zh-CN"/>
        </w:rPr>
        <w:t>1450</w:t>
      </w:r>
      <w:r>
        <w:rPr>
          <w:rFonts w:hint="eastAsia" w:ascii="仿宋_GB2312" w:hAnsi="仿宋_GB2312" w:eastAsia="仿宋_GB2312" w:cs="仿宋_GB2312"/>
          <w:color w:val="000000"/>
          <w:sz w:val="32"/>
          <w:szCs w:val="32"/>
        </w:rPr>
        <w:t xml:space="preserve">r/min      </w:t>
      </w:r>
    </w:p>
    <w:p>
      <w:pPr>
        <w:spacing w:line="360" w:lineRule="auto"/>
        <w:ind w:firstLine="800" w:firstLineChars="25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频率：   50Hz    </w:t>
      </w:r>
    </w:p>
    <w:p>
      <w:pPr>
        <w:spacing w:line="360" w:lineRule="auto"/>
        <w:ind w:firstLine="800" w:firstLineChars="25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绝缘等级：</w:t>
      </w:r>
      <w:r>
        <w:rPr>
          <w:rFonts w:hint="eastAsia" w:ascii="仿宋_GB2312" w:hAnsi="仿宋_GB2312" w:eastAsia="仿宋_GB2312" w:cs="仿宋_GB2312"/>
          <w:color w:val="000000"/>
          <w:sz w:val="32"/>
          <w:szCs w:val="32"/>
          <w:lang w:val="en-US" w:eastAsia="zh-CN"/>
        </w:rPr>
        <w:t>F</w:t>
      </w:r>
    </w:p>
    <w:p>
      <w:pPr>
        <w:spacing w:line="360" w:lineRule="auto"/>
        <w:ind w:firstLine="800" w:firstLineChars="25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功率因数</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0.83-0.89</w:t>
      </w:r>
    </w:p>
    <w:p>
      <w:pPr>
        <w:spacing w:line="360" w:lineRule="auto"/>
        <w:ind w:firstLine="800" w:firstLineChars="25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防护等级：  IP54</w:t>
      </w:r>
    </w:p>
    <w:p>
      <w:pPr>
        <w:spacing w:line="360" w:lineRule="auto"/>
        <w:ind w:firstLine="800" w:firstLineChars="25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风扇材质：  铸铝</w:t>
      </w:r>
      <w:r>
        <w:rPr>
          <w:rFonts w:hint="eastAsia" w:ascii="仿宋_GB2312" w:hAnsi="仿宋_GB2312" w:eastAsia="仿宋_GB2312" w:cs="仿宋_GB2312"/>
          <w:color w:val="000000"/>
          <w:sz w:val="32"/>
          <w:szCs w:val="32"/>
        </w:rPr>
        <w:t xml:space="preserve"> </w:t>
      </w:r>
    </w:p>
    <w:p>
      <w:pPr>
        <w:spacing w:line="360" w:lineRule="auto"/>
        <w:ind w:firstLine="800" w:firstLineChars="25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工作制：  S1  </w:t>
      </w:r>
    </w:p>
    <w:p>
      <w:pPr>
        <w:pStyle w:val="7"/>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lang w:val="en-US" w:eastAsia="zh-CN"/>
        </w:rPr>
        <w:t>6.2</w:t>
      </w:r>
      <w:r>
        <w:rPr>
          <w:rFonts w:hint="eastAsia" w:ascii="仿宋_GB2312" w:hAnsi="仿宋_GB2312" w:eastAsia="仿宋_GB2312" w:cs="仿宋_GB2312"/>
          <w:color w:val="000000"/>
          <w:sz w:val="32"/>
          <w:szCs w:val="32"/>
        </w:rPr>
        <w:t>具备国家技术质量监督局颁发的制造许可证；</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6.3电动机应满足IEC所规定的要求，具有良好防腐蚀的能力。</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6.4电动机的设计与构造，必须与它所驱动设备的运行条件和维护要求一致。</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6.5投标时提供电动机型号、生产厂家、能耗等级等相关参数。</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6.6电动机能在80%额定电压下平稳启动，且能在70%额定电压下自启动。电动机满载运行时，能承受电源快速切换过程中失电而不损坏。采取了有效的措施，防止笼条有防位移措施。</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6.7电动机上接线桩头明确标明了A、B、C三相的接入点和接地标识。</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6.8电动机轴承有外置加油装置，有固定接地导线的合适装置。</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_GB2312" w:hAnsi="仿宋_GB2312" w:eastAsia="仿宋_GB2312" w:cs="仿宋_GB2312"/>
          <w:b/>
          <w:bCs/>
          <w:kern w:val="2"/>
          <w:sz w:val="30"/>
          <w:szCs w:val="30"/>
          <w:highlight w:val="none"/>
          <w:lang w:val="en-GB" w:eastAsia="zh-CN"/>
        </w:rPr>
      </w:pPr>
      <w:r>
        <w:rPr>
          <w:rFonts w:hint="eastAsia" w:ascii="仿宋_GB2312" w:hAnsi="仿宋_GB2312" w:eastAsia="仿宋_GB2312" w:cs="仿宋_GB2312"/>
          <w:b/>
          <w:bCs/>
          <w:kern w:val="2"/>
          <w:sz w:val="30"/>
          <w:szCs w:val="30"/>
          <w:lang w:val="en-GB" w:eastAsia="zh-CN"/>
        </w:rPr>
        <w:t>四、验收及技术服务</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1.乙方对整套设备的合理性、完整性负责，包含提供设备与配套电机的连接方式的最终资料。</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2.所有设备均按国家最新标准的规定进行组装。</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3.所有用于设备制造的材料及制作工艺均应符合相关行业标准，完成全部技术参数的设计要求。</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设备到货后由乙方组织甲方相关人员对设备进行开箱验收，随机设备及附件数量种类必须符合本协议中的要求，如存在质量问题，乙方无条件负责免费更换。供货超期或因设备质量问题导致无法安装使用，按照合同违约条款执行。</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5.乙方供货所有设备若存在国家、行业标准和本规格书要求不符合项目，甲方有权拒绝设备的调试和功能考核，对设备直接进行退货，并按照商务合同的有关条款对乙方进行罚款或索赔。</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6.如运行过程中出现问题，经第三方检定为不符合相关技术要求，按照合同违约条款执行。</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7.乙方电动机出厂必须具有出厂检验报告、合格证、产品参数、使用说明书等相关资料，并随货交付甲方；所提供的技术资料须加盖图章，要求资料内容全面，数字准确。</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8.电动机的运输符合有关规定，在运输中出现损坏甲方不予承担。</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9.符合工业和信息化部关于高耗能落后机电设备（产品）淘汰目录（第一批、第二批、第三批、第四批）要求，采用新型节能、安全可靠的工艺和技术。</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10.电动机质保期至少为2年，若在质保期内出现质量问题，乙方在接到甲方的通知后，12小时内给予答复，如果有必要，48小时内赶到现场，若发现有重大质量问题，甲方全部退货，乙方承担全部赔偿责任。</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11.石灰消化机质保期至少为2年，从设备功能考核合格之日算起，质保期内的产品质量问题，乙方免费维修、更换，由于乙方供货设备的质量问题而造成的故障或设备停运，乙方应免费负责7个自然日内更换有缺陷或损坏的部件，设备的质保期将延长12个月。</w:t>
      </w: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五、提供资料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1.乙方在中标后15日内将准确的电子版和纸质版备件明细表、</w:t>
      </w:r>
      <w:r>
        <w:rPr>
          <w:rFonts w:hint="eastAsia" w:ascii="仿宋_GB2312" w:hAnsi="仿宋_GB2312" w:eastAsia="仿宋_GB2312" w:cs="仿宋_GB2312"/>
          <w:sz w:val="32"/>
          <w:szCs w:val="32"/>
          <w:highlight w:val="none"/>
          <w:lang w:val="en-US" w:eastAsia="zh-CN"/>
        </w:rPr>
        <w:t>外购件明细表</w:t>
      </w:r>
      <w:r>
        <w:rPr>
          <w:rFonts w:hint="eastAsia" w:ascii="仿宋_GB2312" w:hAnsi="仿宋_GB2312" w:eastAsia="仿宋_GB2312" w:cs="仿宋_GB2312"/>
          <w:b w:val="0"/>
          <w:bCs w:val="0"/>
          <w:kern w:val="2"/>
          <w:sz w:val="32"/>
          <w:szCs w:val="32"/>
          <w:lang w:val="en-US" w:eastAsia="zh-CN"/>
        </w:rPr>
        <w:t>提供给甲方。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2.设备到货后同时提供出厂最终资料（试验报告</w:t>
      </w:r>
      <w:r>
        <w:rPr>
          <w:rFonts w:hint="eastAsia" w:ascii="仿宋_GB2312" w:hAnsi="仿宋_GB2312" w:eastAsia="仿宋_GB2312" w:cs="仿宋_GB2312"/>
          <w:sz w:val="32"/>
          <w:szCs w:val="32"/>
          <w:highlight w:val="none"/>
          <w:lang w:val="en-US" w:eastAsia="zh-CN"/>
        </w:rPr>
        <w:t>、材质证明、产品合格证</w:t>
      </w:r>
      <w:r>
        <w:rPr>
          <w:rFonts w:hint="eastAsia" w:ascii="仿宋_GB2312" w:hAnsi="仿宋_GB2312" w:eastAsia="仿宋_GB2312" w:cs="仿宋_GB2312"/>
          <w:b w:val="0"/>
          <w:bCs w:val="0"/>
          <w:kern w:val="2"/>
          <w:sz w:val="32"/>
          <w:szCs w:val="32"/>
          <w:lang w:val="en-US"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3.邮寄地址</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甲方邮寄信息：甘肃省嘉峪关市酒钢集团动力厂</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邮政编码：735100</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收件人：董世平   联系电话：17793732678</w:t>
      </w:r>
    </w:p>
    <w:p>
      <w:pPr>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电子邮箱：dsp3037@jungang.com</w:t>
      </w: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六、 交货时间及地点</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1.交货时间：</w:t>
      </w:r>
      <w:r>
        <w:rPr>
          <w:rFonts w:hint="eastAsia" w:ascii="仿宋_GB2312" w:hAnsi="仿宋_GB2312" w:eastAsia="仿宋_GB2312" w:cs="仿宋_GB2312"/>
          <w:b w:val="0"/>
          <w:bCs w:val="0"/>
          <w:kern w:val="2"/>
          <w:sz w:val="32"/>
          <w:szCs w:val="32"/>
          <w:highlight w:val="none"/>
          <w:lang w:val="en-US" w:eastAsia="zh-CN"/>
        </w:rPr>
        <w:t>以合同规定日期为准</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2.交货地点：甘肃酒钢集团动力厂</w:t>
      </w: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七、其他</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1.本协议一式四份，甲方三份，乙方一份。</w:t>
      </w:r>
    </w:p>
    <w:p>
      <w:pPr>
        <w:pStyle w:val="4"/>
        <w:ind w:left="0" w:leftChars="0" w:firstLine="640" w:firstLineChars="200"/>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2.本技术协议作为使用协议附件，具有与使用协议同等的法律效力，经甲、乙双方签字盖章后生效。</w:t>
      </w:r>
    </w:p>
    <w:p>
      <w:pPr>
        <w:pStyle w:val="4"/>
        <w:ind w:left="0" w:leftChars="0" w:firstLine="640" w:firstLineChars="200"/>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pPr>
      <w:r>
        <w:rPr>
          <w:rFonts w:hint="eastAsia" w:ascii="仿宋_GB2312" w:hAnsi="仿宋_GB2312" w:eastAsia="仿宋_GB2312" w:cs="仿宋_GB2312"/>
          <w:b w:val="0"/>
          <w:bCs w:val="0"/>
          <w:kern w:val="2"/>
          <w:sz w:val="32"/>
          <w:szCs w:val="32"/>
          <w:lang w:val="en-US" w:eastAsia="zh-CN"/>
        </w:rPr>
        <w:t>3.</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若</w:t>
      </w:r>
      <w:r>
        <w:rPr>
          <w:rFonts w:hint="eastAsia" w:ascii="仿宋_GB2312" w:hAnsi="仿宋_GB2312" w:eastAsia="仿宋_GB2312" w:cs="仿宋_GB2312"/>
          <w:b w:val="0"/>
          <w:bCs w:val="0"/>
          <w:color w:val="000000" w:themeColor="text1"/>
          <w:kern w:val="2"/>
          <w:sz w:val="32"/>
          <w:szCs w:val="32"/>
          <w:u w:val="single"/>
          <w:lang w:val="en-US" w:eastAsia="zh-CN"/>
          <w14:textFill>
            <w14:solidFill>
              <w14:schemeClr w14:val="tx1"/>
            </w14:solidFill>
          </w14:textFill>
        </w:rPr>
        <w:t xml:space="preserve">                 </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公司不能中标，则本技术协议自动失效，双方互不承担任何责任（此内容限于标前技术协议签订中使用）。</w:t>
      </w:r>
    </w:p>
    <w:p>
      <w:pPr>
        <w:keepNext w:val="0"/>
        <w:keepLines w:val="0"/>
        <w:widowControl/>
        <w:suppressLineNumbers w:val="0"/>
        <w:spacing w:line="360" w:lineRule="auto"/>
        <w:ind w:firstLine="640" w:firstLineChars="200"/>
        <w:jc w:val="left"/>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pPr>
      <w:r>
        <w:rPr>
          <w:rFonts w:hint="eastAsia" w:ascii="仿宋_GB2312" w:hAnsi="仿宋_GB2312" w:eastAsia="仿宋_GB2312" w:cs="仿宋_GB2312"/>
          <w:color w:val="auto"/>
          <w:kern w:val="0"/>
          <w:sz w:val="32"/>
          <w:szCs w:val="32"/>
          <w:lang w:val="en-US" w:eastAsia="zh-CN" w:bidi="ar"/>
        </w:rPr>
        <w:t>4.</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 xml:space="preserve">本协议内容经由甲乙双方于     年  月  日           时-   时通过               方式商定。 </w:t>
      </w:r>
    </w:p>
    <w:p>
      <w:pPr>
        <w:keepNext w:val="0"/>
        <w:keepLines w:val="0"/>
        <w:widowControl/>
        <w:suppressLineNumbers w:val="0"/>
        <w:spacing w:line="360" w:lineRule="auto"/>
        <w:ind w:firstLine="640" w:firstLineChars="200"/>
        <w:jc w:val="left"/>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pPr>
      <w:r>
        <w:rPr>
          <w:rFonts w:hint="eastAsia" w:ascii="仿宋_GB2312" w:hAnsi="仿宋_GB2312" w:eastAsia="仿宋_GB2312" w:cs="仿宋_GB2312"/>
          <w:color w:val="auto"/>
          <w:kern w:val="0"/>
          <w:sz w:val="32"/>
          <w:szCs w:val="32"/>
          <w:lang w:val="en-US" w:eastAsia="zh-CN" w:bidi="ar"/>
        </w:rPr>
        <w:t>5.</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甲乙双方应当就签订本协议的相关事宜保密，不得将签订主体、时间、内容等信息透露给其他第三人。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甲方：（行政公章）</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乙方：（合同专用章）</w:t>
      </w: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val="0"/>
          <w:bCs w:val="0"/>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甲方代表：</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乙方代表：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sz w:val="32"/>
          <w:szCs w:val="32"/>
        </w:rPr>
      </w:pPr>
    </w:p>
    <w:p>
      <w:pPr>
        <w:keepNext w:val="0"/>
        <w:keepLines w:val="0"/>
        <w:pageBreakBefore w:val="0"/>
        <w:widowControl w:val="0"/>
        <w:kinsoku/>
        <w:wordWrap/>
        <w:overflowPunct/>
        <w:topLinePunct w:val="0"/>
        <w:autoSpaceDE/>
        <w:autoSpaceDN/>
        <w:bidi w:val="0"/>
        <w:adjustRightInd/>
        <w:snapToGrid/>
        <w:ind w:firstLine="1920" w:firstLineChars="600"/>
        <w:textAlignment w:val="auto"/>
        <w:rPr>
          <w:rFonts w:hint="eastAsia" w:ascii="仿宋_GB2312" w:hAnsi="仿宋_GB2312" w:eastAsia="仿宋_GB2312" w:cs="仿宋_GB2312"/>
          <w:b/>
          <w:bCs/>
          <w:color w:val="FF0000"/>
          <w:kern w:val="2"/>
          <w:sz w:val="32"/>
          <w:szCs w:val="32"/>
          <w:lang w:val="en-US" w:eastAsia="zh-CN"/>
        </w:rPr>
      </w:pPr>
      <w:r>
        <w:rPr>
          <w:rFonts w:hint="eastAsia" w:ascii="仿宋_GB2312" w:hAnsi="仿宋_GB2312" w:eastAsia="仿宋_GB2312" w:cs="仿宋_GB2312"/>
          <w:b w:val="0"/>
          <w:bCs w:val="0"/>
          <w:sz w:val="32"/>
          <w:szCs w:val="32"/>
        </w:rPr>
        <w:t>年</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月</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日</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年</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月</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2ZTdkZjJhYTRkYmY4M2M1MWNlMzhkMGMwN2Q2YTYifQ=="/>
  </w:docVars>
  <w:rsids>
    <w:rsidRoot w:val="5FD107D5"/>
    <w:rsid w:val="00400F20"/>
    <w:rsid w:val="0CD12600"/>
    <w:rsid w:val="0DF5586B"/>
    <w:rsid w:val="0E482CFB"/>
    <w:rsid w:val="10B8439C"/>
    <w:rsid w:val="11E37064"/>
    <w:rsid w:val="139D62C3"/>
    <w:rsid w:val="14A37B76"/>
    <w:rsid w:val="18E50EAA"/>
    <w:rsid w:val="1B6D3B00"/>
    <w:rsid w:val="1CA61C7D"/>
    <w:rsid w:val="1DEE2CBD"/>
    <w:rsid w:val="2016342C"/>
    <w:rsid w:val="20C02311"/>
    <w:rsid w:val="27541A0C"/>
    <w:rsid w:val="2BD355F5"/>
    <w:rsid w:val="2CAC404E"/>
    <w:rsid w:val="2CBD0D9A"/>
    <w:rsid w:val="2CDC069B"/>
    <w:rsid w:val="2D0974C5"/>
    <w:rsid w:val="2D7B23E8"/>
    <w:rsid w:val="30C91B6F"/>
    <w:rsid w:val="34AF0955"/>
    <w:rsid w:val="35415A03"/>
    <w:rsid w:val="39FE4185"/>
    <w:rsid w:val="3C97266F"/>
    <w:rsid w:val="3D8177D5"/>
    <w:rsid w:val="3F0B2310"/>
    <w:rsid w:val="40031A1B"/>
    <w:rsid w:val="40710CC1"/>
    <w:rsid w:val="41E560DF"/>
    <w:rsid w:val="427A56FA"/>
    <w:rsid w:val="42C31904"/>
    <w:rsid w:val="44792AB5"/>
    <w:rsid w:val="45ED3BDA"/>
    <w:rsid w:val="46B207D1"/>
    <w:rsid w:val="47AA14A8"/>
    <w:rsid w:val="48EC7B1D"/>
    <w:rsid w:val="4C9F5FCC"/>
    <w:rsid w:val="54155808"/>
    <w:rsid w:val="54F96501"/>
    <w:rsid w:val="5FD107D5"/>
    <w:rsid w:val="63FA6EBC"/>
    <w:rsid w:val="64B44F54"/>
    <w:rsid w:val="6AAD1843"/>
    <w:rsid w:val="6AE368FC"/>
    <w:rsid w:val="6B2C02A3"/>
    <w:rsid w:val="6E181B4E"/>
    <w:rsid w:val="708410A0"/>
    <w:rsid w:val="708C5AA8"/>
    <w:rsid w:val="71ED2114"/>
    <w:rsid w:val="73C42049"/>
    <w:rsid w:val="742865E4"/>
    <w:rsid w:val="75725B14"/>
    <w:rsid w:val="75FE2CF3"/>
    <w:rsid w:val="7D2C7C8E"/>
    <w:rsid w:val="7E5F63D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wordWrap w:val="0"/>
      <w:autoSpaceDE/>
      <w:autoSpaceDN/>
      <w:spacing w:before="0" w:after="0" w:line="240" w:lineRule="auto"/>
      <w:ind w:left="0" w:firstLine="0"/>
      <w:jc w:val="both"/>
    </w:pPr>
    <w:rPr>
      <w:rFonts w:ascii="宋体" w:hAnsi="Times New Roman" w:eastAsia="Calibri" w:cs="Times New Roman"/>
      <w:sz w:val="21"/>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480"/>
    </w:pPr>
    <w:rPr>
      <w:rFonts w:hAnsi="Times New Roman"/>
      <w:sz w:val="24"/>
      <w:szCs w:val="24"/>
    </w:rPr>
  </w:style>
  <w:style w:type="paragraph" w:styleId="3">
    <w:name w:val="Plain Text"/>
    <w:basedOn w:val="1"/>
    <w:qFormat/>
    <w:uiPriority w:val="0"/>
    <w:pPr>
      <w:widowControl w:val="0"/>
      <w:jc w:val="both"/>
    </w:pPr>
    <w:rPr>
      <w:rFonts w:ascii="宋体" w:hAnsi="Courier New"/>
      <w:kern w:val="2"/>
      <w:sz w:val="21"/>
    </w:rPr>
  </w:style>
  <w:style w:type="paragraph" w:styleId="4">
    <w:name w:val="Body Text First Indent 2"/>
    <w:basedOn w:val="2"/>
    <w:qFormat/>
    <w:uiPriority w:val="0"/>
    <w:pPr>
      <w:spacing w:after="120" w:line="560" w:lineRule="exact"/>
      <w:ind w:left="420" w:leftChars="200" w:firstLine="420"/>
    </w:pPr>
    <w:rPr>
      <w:rFonts w:hAnsi="宋体"/>
      <w:sz w:val="28"/>
      <w:szCs w:val="22"/>
    </w:rPr>
  </w:style>
  <w:style w:type="paragraph" w:customStyle="1" w:styleId="7">
    <w:name w:val="样式 样式 行距: 1.5 倍行距 + 两端对齐 Char"/>
    <w:basedOn w:val="1"/>
    <w:qFormat/>
    <w:uiPriority w:val="99"/>
    <w:pPr>
      <w:tabs>
        <w:tab w:val="left" w:pos="720"/>
      </w:tabs>
      <w:adjustRightInd w:val="0"/>
      <w:snapToGrid w:val="0"/>
      <w:ind w:firstLine="480" w:firstLineChars="200"/>
    </w:pPr>
    <w:rPr>
      <w:rFonts w:ascii="宋体" w:hAnsi="宋体"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5247</Words>
  <Characters>5696</Characters>
  <Lines>0</Lines>
  <Paragraphs>0</Paragraphs>
  <TotalTime>26</TotalTime>
  <ScaleCrop>false</ScaleCrop>
  <LinksUpToDate>false</LinksUpToDate>
  <CharactersWithSpaces>5817</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2022-10-19T01:34:00Z</dcterms:created>
  <dc:creator>王成德</dc:creator>
  <cp:lastModifiedBy>王成德</cp:lastModifiedBy>
  <dcterms:modified xsi:type="dcterms:W3CDTF">2026-02-03T13:39:37Z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2F24C1F21BD44E0897426A4A7FBD2571</vt:lpwstr>
  </property>
</Properties>
</file>