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1D5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9BAB0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36"/>
          <w:szCs w:val="36"/>
        </w:rPr>
      </w:pPr>
      <w:r>
        <w:rPr>
          <w:rFonts w:hint="eastAsia" w:ascii="方正小标宋简体" w:hAnsi="方正小标宋简体" w:eastAsia="方正小标宋简体" w:cs="方正小标宋简体"/>
          <w:sz w:val="44"/>
          <w:szCs w:val="44"/>
          <w:lang w:val="en-US" w:eastAsia="zh-CN"/>
        </w:rPr>
        <w:t>蒸压釜补充疲劳分析设计采购</w:t>
      </w:r>
      <w:r>
        <w:rPr>
          <w:rFonts w:hint="eastAsia" w:ascii="方正小标宋简体" w:hAnsi="方正小标宋简体" w:eastAsia="方正小标宋简体" w:cs="方正小标宋简体"/>
          <w:sz w:val="44"/>
          <w:szCs w:val="44"/>
        </w:rPr>
        <w:t>方案</w:t>
      </w:r>
    </w:p>
    <w:p w14:paraId="476F78EF">
      <w:pPr>
        <w:keepNext w:val="0"/>
        <w:keepLines w:val="0"/>
        <w:pageBreakBefore w:val="0"/>
        <w:widowControl w:val="0"/>
        <w:tabs>
          <w:tab w:val="left" w:pos="525"/>
          <w:tab w:val="left" w:pos="987"/>
        </w:tabs>
        <w:kinsoku/>
        <w:wordWrap/>
        <w:overflowPunct/>
        <w:topLinePunct w:val="0"/>
        <w:bidi w:val="0"/>
        <w:snapToGrid/>
        <w:spacing w:line="600" w:lineRule="exact"/>
        <w:ind w:firstLine="640" w:firstLineChars="200"/>
        <w:jc w:val="both"/>
        <w:textAlignment w:val="auto"/>
        <w:rPr>
          <w:rFonts w:hint="default" w:ascii="仿宋_GB2312" w:hAnsi="仿宋_GB2312" w:eastAsia="仿宋_GB2312" w:cs="Times New Roman"/>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甘肃酒钢集团西部重工股份有限公司承接了酒钢集团润源公司的一台蒸压釜设计制作。根据甘肃省特种设备检验检测研究院要求，蒸压釜属于快开门式压力容器，在按规则设计完成设计后，还需对蒸压釜主要部件补充疲劳分析校核。</w:t>
      </w:r>
      <w:r>
        <w:rPr>
          <w:rFonts w:hint="eastAsia" w:ascii="仿宋_GB2312" w:hAnsi="仿宋_GB2312" w:eastAsia="仿宋_GB2312" w:cs="Times New Roman"/>
          <w:snapToGrid w:val="0"/>
          <w:kern w:val="28"/>
          <w:sz w:val="32"/>
          <w:szCs w:val="32"/>
          <w:lang w:val="en-US" w:eastAsia="zh-CN"/>
        </w:rPr>
        <w:t>请有能力提供服务的供应商</w:t>
      </w:r>
      <w:r>
        <w:rPr>
          <w:rFonts w:hint="eastAsia" w:ascii="仿宋_GB2312" w:hAnsi="仿宋_GB2312" w:eastAsia="仿宋_GB2312" w:cs="仿宋_GB2312"/>
          <w:snapToGrid w:val="0"/>
          <w:kern w:val="28"/>
          <w:sz w:val="32"/>
          <w:szCs w:val="32"/>
          <w:lang w:val="en-US" w:eastAsia="zh-CN"/>
        </w:rPr>
        <w:t>依据TSG 07-2019《特种设备生产和充装单位许可规则》、GB150-2024《压力容器》、TSG 21-2016《固定式压力容器安全技术监察规程》、GB T4732.1</w:t>
      </w:r>
      <w:r>
        <w:rPr>
          <w:rFonts w:hint="eastAsia" w:ascii="微软雅黑" w:hAnsi="微软雅黑" w:eastAsia="微软雅黑" w:cs="微软雅黑"/>
          <w:snapToGrid w:val="0"/>
          <w:kern w:val="28"/>
          <w:sz w:val="32"/>
          <w:szCs w:val="32"/>
          <w:lang w:val="en-US" w:eastAsia="zh-CN"/>
        </w:rPr>
        <w:t>~</w:t>
      </w:r>
      <w:r>
        <w:rPr>
          <w:rFonts w:hint="eastAsia" w:ascii="仿宋_GB2312" w:hAnsi="仿宋_GB2312" w:eastAsia="仿宋_GB2312" w:cs="仿宋_GB2312"/>
          <w:snapToGrid w:val="0"/>
          <w:kern w:val="28"/>
          <w:sz w:val="32"/>
          <w:szCs w:val="32"/>
          <w:lang w:val="en-US" w:eastAsia="zh-CN"/>
        </w:rPr>
        <w:t>6-2024《压力容器分析设计》等相关法规标准，完成蒸压釜主要部件进行补充疲劳载荷分析校核，并提供盖有分析设计资质公章的正式计算书。</w:t>
      </w:r>
    </w:p>
    <w:p w14:paraId="4715DB19">
      <w:pPr>
        <w:keepNext w:val="0"/>
        <w:keepLines w:val="0"/>
        <w:pageBreakBefore w:val="0"/>
        <w:widowControl w:val="0"/>
        <w:tabs>
          <w:tab w:val="left" w:pos="525"/>
          <w:tab w:val="left" w:pos="987"/>
        </w:tabs>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napToGrid w:val="0"/>
          <w:kern w:val="28"/>
          <w:sz w:val="32"/>
          <w:szCs w:val="32"/>
          <w:lang w:val="en-US" w:eastAsia="zh-CN"/>
        </w:rPr>
      </w:pPr>
      <w:r>
        <w:rPr>
          <w:rFonts w:hint="eastAsia" w:ascii="黑体" w:hAnsi="黑体" w:eastAsia="黑体" w:cs="黑体"/>
          <w:snapToGrid w:val="0"/>
          <w:kern w:val="28"/>
          <w:sz w:val="32"/>
          <w:szCs w:val="32"/>
          <w:lang w:val="en-US" w:eastAsia="zh-CN"/>
        </w:rPr>
        <w:t>一</w:t>
      </w:r>
      <w:r>
        <w:rPr>
          <w:rFonts w:hint="eastAsia" w:ascii="黑体" w:hAnsi="黑体" w:eastAsia="黑体" w:cs="黑体"/>
          <w:snapToGrid w:val="0"/>
          <w:kern w:val="28"/>
          <w:sz w:val="32"/>
          <w:szCs w:val="32"/>
          <w:lang w:eastAsia="zh-CN"/>
        </w:rPr>
        <w:t>、</w:t>
      </w:r>
      <w:r>
        <w:rPr>
          <w:rFonts w:hint="eastAsia" w:ascii="黑体" w:hAnsi="黑体" w:eastAsia="黑体" w:cs="黑体"/>
          <w:snapToGrid w:val="0"/>
          <w:kern w:val="28"/>
          <w:sz w:val="32"/>
          <w:szCs w:val="32"/>
          <w:lang w:val="en-US" w:eastAsia="zh-CN"/>
        </w:rPr>
        <w:t>服务内容</w:t>
      </w:r>
    </w:p>
    <w:p w14:paraId="27B9510A">
      <w:pPr>
        <w:keepNext w:val="0"/>
        <w:keepLines w:val="0"/>
        <w:pageBreakBefore w:val="0"/>
        <w:widowControl w:val="0"/>
        <w:tabs>
          <w:tab w:val="left" w:pos="525"/>
          <w:tab w:val="left" w:pos="987"/>
        </w:tabs>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形成快开门蒸压釜主要部件疲劳载荷分析校核计算书（要求盖有具有分析设计资质单位公章）。</w:t>
      </w:r>
    </w:p>
    <w:p w14:paraId="66AE154A">
      <w:pPr>
        <w:keepNext w:val="0"/>
        <w:keepLines w:val="0"/>
        <w:pageBreakBefore w:val="0"/>
        <w:widowControl w:val="0"/>
        <w:numPr>
          <w:ilvl w:val="0"/>
          <w:numId w:val="0"/>
        </w:numPr>
        <w:tabs>
          <w:tab w:val="left" w:pos="525"/>
          <w:tab w:val="left" w:pos="987"/>
        </w:tabs>
        <w:kinsoku/>
        <w:wordWrap/>
        <w:overflowPunct/>
        <w:topLinePunct w:val="0"/>
        <w:bidi w:val="0"/>
        <w:snapToGrid/>
        <w:spacing w:line="600" w:lineRule="exact"/>
        <w:jc w:val="both"/>
        <w:textAlignment w:val="auto"/>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1.技术指标和参数：</w:t>
      </w:r>
    </w:p>
    <w:p w14:paraId="14FFC14E">
      <w:pPr>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设备类型：卧式开快开门蒸压釜，容积：202.8m³，容器内径：2850mm；</w:t>
      </w:r>
    </w:p>
    <w:p w14:paraId="00EA2C28">
      <w:pPr>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 xml:space="preserve">设计压力：壳体1.6MPa，工作压力：壳体0.8-1.5MPa； </w:t>
      </w:r>
    </w:p>
    <w:p w14:paraId="57A18C44">
      <w:pPr>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设计温度: 壳体220℃ ，工作温度：壳体≤204℃ ；</w:t>
      </w:r>
    </w:p>
    <w:p w14:paraId="0CD4D98F">
      <w:pPr>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腐蚀裕度：筒体3.0mm；封头 2.0mm ；</w:t>
      </w:r>
    </w:p>
    <w:p w14:paraId="6579EE71">
      <w:pPr>
        <w:rPr>
          <w:rFonts w:hint="default"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材质：筒体Q345R；封头Q345R，齿形法兰16MnII锻件</w:t>
      </w:r>
    </w:p>
    <w:p w14:paraId="7CE26991">
      <w:pPr>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厚度：筒体20mm；封头26mm</w:t>
      </w:r>
    </w:p>
    <w:p w14:paraId="7C004A39">
      <w:pPr>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工作介质：水蒸汽、水、灰砂砖坯</w:t>
      </w:r>
    </w:p>
    <w:p w14:paraId="3D905BF7">
      <w:pPr>
        <w:pStyle w:val="2"/>
        <w:rPr>
          <w:rFonts w:hint="default"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开关门循环次数：12000次，设计寿命：20年</w:t>
      </w:r>
    </w:p>
    <w:p w14:paraId="4DE0A988">
      <w:pPr>
        <w:keepNext w:val="0"/>
        <w:keepLines w:val="0"/>
        <w:pageBreakBefore w:val="0"/>
        <w:widowControl w:val="0"/>
        <w:numPr>
          <w:ilvl w:val="0"/>
          <w:numId w:val="0"/>
        </w:numPr>
        <w:tabs>
          <w:tab w:val="left" w:pos="525"/>
          <w:tab w:val="left" w:pos="987"/>
        </w:tabs>
        <w:kinsoku/>
        <w:wordWrap/>
        <w:overflowPunct/>
        <w:topLinePunct w:val="0"/>
        <w:bidi w:val="0"/>
        <w:snapToGrid/>
        <w:spacing w:line="600" w:lineRule="exact"/>
        <w:jc w:val="both"/>
        <w:textAlignment w:val="auto"/>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2.乙方人员：必须具有压力容器分析设计能力和资质，掌握GB T4732.1</w:t>
      </w:r>
      <w:r>
        <w:rPr>
          <w:rFonts w:hint="eastAsia" w:ascii="微软雅黑" w:hAnsi="微软雅黑" w:eastAsia="微软雅黑" w:cs="微软雅黑"/>
          <w:snapToGrid w:val="0"/>
          <w:kern w:val="28"/>
          <w:sz w:val="32"/>
          <w:szCs w:val="32"/>
          <w:lang w:val="en-US" w:eastAsia="zh-CN"/>
        </w:rPr>
        <w:t>~</w:t>
      </w:r>
      <w:r>
        <w:rPr>
          <w:rFonts w:hint="eastAsia" w:ascii="仿宋_GB2312" w:hAnsi="仿宋_GB2312" w:eastAsia="仿宋_GB2312" w:cs="仿宋_GB2312"/>
          <w:snapToGrid w:val="0"/>
          <w:kern w:val="28"/>
          <w:sz w:val="32"/>
          <w:szCs w:val="32"/>
          <w:lang w:val="en-US" w:eastAsia="zh-CN"/>
        </w:rPr>
        <w:t>6-2024《压力容器分析设计》具备快开门压力容器疲劳载荷分析校核能力，能够提供有效的满足TSG 21-2016《固定式压力容器安全技术监察规程》以及监检要求的校核计算书。</w:t>
      </w:r>
    </w:p>
    <w:p w14:paraId="3D475C06">
      <w:pPr>
        <w:keepNext w:val="0"/>
        <w:keepLines w:val="0"/>
        <w:pageBreakBefore w:val="0"/>
        <w:widowControl w:val="0"/>
        <w:tabs>
          <w:tab w:val="left" w:pos="525"/>
          <w:tab w:val="left" w:pos="987"/>
        </w:tabs>
        <w:kinsoku/>
        <w:wordWrap/>
        <w:overflowPunct/>
        <w:topLinePunct w:val="0"/>
        <w:bidi w:val="0"/>
        <w:snapToGrid/>
        <w:spacing w:line="600" w:lineRule="exact"/>
        <w:ind w:firstLine="640" w:firstLineChars="200"/>
        <w:jc w:val="both"/>
        <w:textAlignment w:val="auto"/>
        <w:rPr>
          <w:rFonts w:hint="default"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3.乙方根据甲方提供的相关图纸资料对启闭、升压、降压保压、降压全流程做应力分析，尤其是开门机构、齿形法兰、釜体与法兰焊接点等重点部位逐一进行分析校核最终形成合格的疲劳载荷分析校核计算书。</w:t>
      </w:r>
    </w:p>
    <w:p w14:paraId="7E6D0E33">
      <w:pPr>
        <w:keepNext w:val="0"/>
        <w:keepLines w:val="0"/>
        <w:pageBreakBefore w:val="0"/>
        <w:widowControl w:val="0"/>
        <w:tabs>
          <w:tab w:val="left" w:pos="525"/>
          <w:tab w:val="left" w:pos="987"/>
        </w:tabs>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4.疲劳载荷分析校核计算书在甘肃省监检部门审核时，提出相应问题时乙方需要提供必要的技术支持，解释修改保证通过监检审核。</w:t>
      </w:r>
    </w:p>
    <w:p w14:paraId="6B23677B">
      <w:pPr>
        <w:keepNext w:val="0"/>
        <w:keepLines w:val="0"/>
        <w:pageBreakBefore w:val="0"/>
        <w:widowControl w:val="0"/>
        <w:tabs>
          <w:tab w:val="left" w:pos="525"/>
          <w:tab w:val="left" w:pos="987"/>
        </w:tabs>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5.</w:t>
      </w:r>
      <w:r>
        <w:rPr>
          <w:rFonts w:hint="eastAsia" w:ascii="仿宋_GB2312" w:hAnsi="仿宋_GB2312" w:eastAsia="仿宋_GB2312" w:cs="仿宋_GB2312"/>
          <w:snapToGrid w:val="0"/>
          <w:kern w:val="28"/>
          <w:sz w:val="32"/>
          <w:szCs w:val="32"/>
          <w:lang w:val="en-US" w:eastAsia="zh-CN" w:bidi="ar-SA"/>
        </w:rPr>
        <w:t>监检审核时如果需要修改计算书内容</w:t>
      </w:r>
      <w:r>
        <w:rPr>
          <w:rFonts w:hint="eastAsia" w:ascii="仿宋_GB2312" w:hAnsi="仿宋_GB2312" w:eastAsia="仿宋_GB2312" w:cs="仿宋_GB2312"/>
          <w:snapToGrid w:val="0"/>
          <w:kern w:val="28"/>
          <w:sz w:val="32"/>
          <w:szCs w:val="32"/>
          <w:lang w:val="en-US" w:eastAsia="zh-CN"/>
        </w:rPr>
        <w:t>乙方</w:t>
      </w:r>
      <w:r>
        <w:rPr>
          <w:rFonts w:hint="eastAsia" w:ascii="仿宋_GB2312" w:hAnsi="仿宋_GB2312" w:eastAsia="仿宋_GB2312" w:cs="仿宋_GB2312"/>
          <w:snapToGrid w:val="0"/>
          <w:kern w:val="28"/>
          <w:sz w:val="32"/>
          <w:szCs w:val="32"/>
          <w:lang w:val="en-US" w:eastAsia="zh-CN" w:bidi="ar-SA"/>
        </w:rPr>
        <w:t>需随时提供服务直至通过监检审核</w:t>
      </w:r>
      <w:r>
        <w:rPr>
          <w:rFonts w:hint="eastAsia" w:ascii="仿宋_GB2312" w:hAnsi="仿宋_GB2312" w:eastAsia="仿宋_GB2312" w:cs="仿宋_GB2312"/>
          <w:snapToGrid w:val="0"/>
          <w:kern w:val="28"/>
          <w:sz w:val="32"/>
          <w:szCs w:val="32"/>
          <w:lang w:val="en-US" w:eastAsia="zh-CN"/>
        </w:rPr>
        <w:t>。</w:t>
      </w:r>
    </w:p>
    <w:p w14:paraId="4B5CEABE">
      <w:pPr>
        <w:keepNext w:val="0"/>
        <w:keepLines w:val="0"/>
        <w:pageBreakBefore w:val="0"/>
        <w:widowControl w:val="0"/>
        <w:tabs>
          <w:tab w:val="left" w:pos="525"/>
          <w:tab w:val="left" w:pos="987"/>
        </w:tabs>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二、交货地点：甘肃酒钢集团西部重工股份有限公司</w:t>
      </w:r>
    </w:p>
    <w:p w14:paraId="478720AD">
      <w:pPr>
        <w:keepNext w:val="0"/>
        <w:keepLines w:val="0"/>
        <w:pageBreakBefore w:val="0"/>
        <w:widowControl w:val="0"/>
        <w:tabs>
          <w:tab w:val="left" w:pos="525"/>
          <w:tab w:val="left" w:pos="987"/>
        </w:tabs>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napToGrid w:val="0"/>
          <w:kern w:val="28"/>
          <w:sz w:val="32"/>
          <w:szCs w:val="32"/>
          <w:lang w:val="en-US" w:eastAsia="zh-CN"/>
        </w:rPr>
      </w:pPr>
      <w:r>
        <w:rPr>
          <w:rFonts w:hint="eastAsia" w:ascii="仿宋_GB2312" w:hAnsi="仿宋_GB2312" w:eastAsia="仿宋_GB2312" w:cs="仿宋_GB2312"/>
          <w:snapToGrid w:val="0"/>
          <w:kern w:val="28"/>
          <w:sz w:val="32"/>
          <w:szCs w:val="32"/>
          <w:lang w:val="en-US" w:eastAsia="zh-CN"/>
        </w:rPr>
        <w:t>三、交货时间：2026年3月10日前</w:t>
      </w:r>
    </w:p>
    <w:p w14:paraId="70847317">
      <w:pPr>
        <w:pStyle w:val="2"/>
        <w:rPr>
          <w:rFonts w:hint="default"/>
          <w:lang w:val="en-US" w:eastAsia="zh-CN"/>
        </w:rPr>
      </w:pPr>
      <w:r>
        <w:rPr>
          <w:rFonts w:hint="eastAsia" w:ascii="仿宋_GB2312" w:hAnsi="仿宋_GB2312" w:eastAsia="仿宋_GB2312" w:cs="Times New Roman"/>
          <w:snapToGrid w:val="0"/>
          <w:kern w:val="28"/>
          <w:sz w:val="32"/>
          <w:szCs w:val="32"/>
          <w:lang w:val="en-US" w:eastAsia="zh-CN"/>
        </w:rPr>
        <w:t xml:space="preserve">    四、交货验收：</w:t>
      </w:r>
      <w:r>
        <w:rPr>
          <w:rFonts w:hint="eastAsia" w:ascii="仿宋_GB2312" w:hAnsi="仿宋_GB2312" w:eastAsia="仿宋_GB2312" w:cs="仿宋_GB2312"/>
          <w:snapToGrid w:val="0"/>
          <w:kern w:val="28"/>
          <w:sz w:val="32"/>
          <w:szCs w:val="32"/>
          <w:lang w:val="en-US" w:eastAsia="zh-CN" w:bidi="ar-SA"/>
        </w:rPr>
        <w:t>乙方出具电子版和纸质版疲劳分析校核计算书，纸质版要求加盖具有分析设计资质的公章。</w:t>
      </w:r>
      <w:bookmarkStart w:id="0" w:name="_GoBack"/>
      <w:bookmarkEnd w:id="0"/>
    </w:p>
    <w:p w14:paraId="78895B7A">
      <w:pPr>
        <w:pStyle w:val="2"/>
        <w:rPr>
          <w:rFonts w:hint="eastAsia"/>
          <w:lang w:val="en-US" w:eastAsia="zh-CN"/>
        </w:rPr>
      </w:pPr>
      <w:r>
        <w:rPr>
          <w:rFonts w:hint="eastAsia"/>
          <w:lang w:val="en-US" w:eastAsia="zh-CN"/>
        </w:rPr>
        <w:t xml:space="preserve">                       </w:t>
      </w:r>
    </w:p>
    <w:p w14:paraId="65806076">
      <w:pPr>
        <w:pStyle w:val="2"/>
        <w:rPr>
          <w:rFonts w:hint="eastAsia"/>
          <w:lang w:val="en-US" w:eastAsia="zh-CN"/>
        </w:rPr>
      </w:pPr>
    </w:p>
    <w:p w14:paraId="56F57D48">
      <w:pPr>
        <w:pStyle w:val="2"/>
        <w:rPr>
          <w:rFonts w:hint="eastAsia"/>
          <w:lang w:val="en-US" w:eastAsia="zh-CN"/>
        </w:rPr>
      </w:pPr>
    </w:p>
    <w:p w14:paraId="3233DE13">
      <w:pPr>
        <w:pStyle w:val="2"/>
        <w:rPr>
          <w:rFonts w:hint="eastAsia"/>
          <w:lang w:val="en-US" w:eastAsia="zh-CN"/>
        </w:rPr>
      </w:pPr>
      <w:r>
        <w:rPr>
          <w:rFonts w:hint="eastAsia"/>
          <w:lang w:val="en-US" w:eastAsia="zh-CN"/>
        </w:rPr>
        <w:t xml:space="preserve">            </w:t>
      </w:r>
    </w:p>
    <w:p w14:paraId="7B263AEE">
      <w:pPr>
        <w:pStyle w:val="2"/>
        <w:rPr>
          <w:rFonts w:hint="eastAsia" w:ascii="仿宋_GB2312" w:hAnsi="仿宋_GB2312" w:eastAsia="仿宋_GB2312" w:cs="仿宋_GB2312"/>
          <w:snapToGrid w:val="0"/>
          <w:color w:val="auto"/>
          <w:kern w:val="28"/>
          <w:sz w:val="32"/>
          <w:szCs w:val="32"/>
          <w:lang w:val="en-US" w:eastAsia="zh-CN" w:bidi="ar-SA"/>
        </w:rPr>
      </w:pPr>
      <w:r>
        <w:rPr>
          <w:rFonts w:hint="eastAsia"/>
          <w:lang w:val="en-US" w:eastAsia="zh-CN"/>
        </w:rPr>
        <w:t xml:space="preserve">                         </w:t>
      </w:r>
      <w:r>
        <w:rPr>
          <w:rFonts w:hint="eastAsia" w:ascii="仿宋_GB2312" w:hAnsi="仿宋_GB2312" w:eastAsia="仿宋_GB2312" w:cs="仿宋_GB2312"/>
          <w:snapToGrid w:val="0"/>
          <w:color w:val="auto"/>
          <w:kern w:val="28"/>
          <w:sz w:val="32"/>
          <w:szCs w:val="32"/>
          <w:lang w:val="en-US" w:eastAsia="zh-CN" w:bidi="ar-SA"/>
        </w:rPr>
        <w:t xml:space="preserve"> 甘肃酒钢集团西部重工</w:t>
      </w:r>
      <w:r>
        <w:rPr>
          <w:rFonts w:hint="eastAsia" w:ascii="仿宋_GB2312" w:hAnsi="仿宋_GB2312" w:eastAsia="仿宋_GB2312" w:cs="Times New Roman"/>
          <w:snapToGrid w:val="0"/>
          <w:kern w:val="28"/>
          <w:sz w:val="32"/>
          <w:szCs w:val="32"/>
          <w:lang w:val="en-US" w:eastAsia="zh-CN"/>
        </w:rPr>
        <w:t>股份有限公司</w:t>
      </w:r>
    </w:p>
    <w:p w14:paraId="16ACBE6B">
      <w:pPr>
        <w:pStyle w:val="2"/>
        <w:rPr>
          <w:rFonts w:hint="default" w:ascii="仿宋_GB2312" w:hAnsi="仿宋_GB2312" w:eastAsia="仿宋_GB2312" w:cs="仿宋_GB2312"/>
          <w:snapToGrid w:val="0"/>
          <w:color w:val="auto"/>
          <w:kern w:val="28"/>
          <w:sz w:val="32"/>
          <w:szCs w:val="32"/>
          <w:lang w:val="en-US" w:eastAsia="zh-CN" w:bidi="ar-SA"/>
        </w:rPr>
      </w:pPr>
      <w:r>
        <w:rPr>
          <w:rFonts w:hint="eastAsia" w:ascii="仿宋_GB2312" w:hAnsi="仿宋_GB2312" w:eastAsia="仿宋_GB2312" w:cs="仿宋_GB2312"/>
          <w:snapToGrid w:val="0"/>
          <w:color w:val="auto"/>
          <w:kern w:val="28"/>
          <w:sz w:val="32"/>
          <w:szCs w:val="32"/>
          <w:lang w:val="en-US" w:eastAsia="zh-CN" w:bidi="ar-SA"/>
        </w:rPr>
        <w:t xml:space="preserve">                               2026年2月7日</w:t>
      </w:r>
    </w:p>
    <w:p w14:paraId="45C0A6DC"/>
    <w:sectPr>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ZDVhZjVhZGZmYTUwYTMwOWUxNDk1ZTVmNDRjOWIifQ=="/>
  </w:docVars>
  <w:rsids>
    <w:rsidRoot w:val="77C4562F"/>
    <w:rsid w:val="008451B9"/>
    <w:rsid w:val="0175454D"/>
    <w:rsid w:val="072D2F81"/>
    <w:rsid w:val="08DB0D41"/>
    <w:rsid w:val="0A3E68E1"/>
    <w:rsid w:val="0F55723B"/>
    <w:rsid w:val="11E44B84"/>
    <w:rsid w:val="130670C9"/>
    <w:rsid w:val="147D24A0"/>
    <w:rsid w:val="16AA639C"/>
    <w:rsid w:val="1AC437A4"/>
    <w:rsid w:val="1D291FE4"/>
    <w:rsid w:val="20E83738"/>
    <w:rsid w:val="22C97BAA"/>
    <w:rsid w:val="22D8603F"/>
    <w:rsid w:val="24A50E94"/>
    <w:rsid w:val="26190E48"/>
    <w:rsid w:val="26342D3C"/>
    <w:rsid w:val="26CD578F"/>
    <w:rsid w:val="29C0782D"/>
    <w:rsid w:val="2AEC2FA4"/>
    <w:rsid w:val="2CA927FA"/>
    <w:rsid w:val="31713357"/>
    <w:rsid w:val="35DE5F81"/>
    <w:rsid w:val="38BC7E01"/>
    <w:rsid w:val="39A81897"/>
    <w:rsid w:val="3A7D47C4"/>
    <w:rsid w:val="3B590783"/>
    <w:rsid w:val="3BD038FF"/>
    <w:rsid w:val="3E7C604C"/>
    <w:rsid w:val="3F726227"/>
    <w:rsid w:val="41C537DA"/>
    <w:rsid w:val="436E6C85"/>
    <w:rsid w:val="441E1258"/>
    <w:rsid w:val="46603AD2"/>
    <w:rsid w:val="47053365"/>
    <w:rsid w:val="48DD58AD"/>
    <w:rsid w:val="4B69167A"/>
    <w:rsid w:val="4C5459AB"/>
    <w:rsid w:val="4C6D027A"/>
    <w:rsid w:val="4C91480C"/>
    <w:rsid w:val="4CEE0089"/>
    <w:rsid w:val="4DB36BDD"/>
    <w:rsid w:val="4F635DBD"/>
    <w:rsid w:val="4F6F4D85"/>
    <w:rsid w:val="4FCA4A7A"/>
    <w:rsid w:val="50483F54"/>
    <w:rsid w:val="523E250F"/>
    <w:rsid w:val="538C5DBA"/>
    <w:rsid w:val="53980D4F"/>
    <w:rsid w:val="568E6439"/>
    <w:rsid w:val="57727ED6"/>
    <w:rsid w:val="5E3C677A"/>
    <w:rsid w:val="5F776851"/>
    <w:rsid w:val="61750921"/>
    <w:rsid w:val="64FB738F"/>
    <w:rsid w:val="662479FA"/>
    <w:rsid w:val="678B66CD"/>
    <w:rsid w:val="68326866"/>
    <w:rsid w:val="695643AA"/>
    <w:rsid w:val="6BC86B87"/>
    <w:rsid w:val="700F1F41"/>
    <w:rsid w:val="70A72179"/>
    <w:rsid w:val="70FB2CF5"/>
    <w:rsid w:val="727E1A1D"/>
    <w:rsid w:val="75D457BF"/>
    <w:rsid w:val="77336515"/>
    <w:rsid w:val="77C4562F"/>
    <w:rsid w:val="7BDF3B7F"/>
    <w:rsid w:val="7DBB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825</Words>
  <Characters>959</Characters>
  <Lines>0</Lines>
  <Paragraphs>0</Paragraphs>
  <TotalTime>54</TotalTime>
  <ScaleCrop>false</ScaleCrop>
  <LinksUpToDate>false</LinksUpToDate>
  <CharactersWithSpaces>1066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2022-02-14T01:37:00Z</dcterms:created>
  <dc:creator>Y</dc:creator>
  <cp:lastModifiedBy>00012358</cp:lastModifiedBy>
  <cp:lastPrinted>2022-02-14T02:05:00Z</cp:lastPrinted>
  <dcterms:modified xsi:type="dcterms:W3CDTF">2026-02-09T00:54:59Z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74346892263D4497B99BB89FC31C5F48</vt:lpwstr>
  </property>
  <property fmtid="{D5CDD505-2E9C-101B-9397-08002B2CF9AE}" pid="4" name="commondata">
    <vt:lpwstr>eyJoZGlkIjoiZDg0MTM3OGM2YjU0Mzk0ZTk2MzQyNDg0MDBmMTUzMGUifQ==</vt:lpwstr>
  </property>
  <property fmtid="{D5CDD505-2E9C-101B-9397-08002B2CF9AE}" pid="5" name="KSOTemplateDocerSaveRecord">
    <vt:lpwstr>eyJoZGlkIjoiNmViMWMwZjU1ODI3NTlkM2IwNjk0ODA3YmI5YmZlM2EiLCJ1c2VySWQiOiIxNzUyNjM5Nzg4In0=</vt:lpwstr>
  </property>
</Properties>
</file>