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FE34">
      <w:pPr>
        <w:snapToGrid w:val="0"/>
        <w:spacing w:line="360" w:lineRule="auto"/>
        <w:ind w:right="2" w:rightChars="1"/>
        <w:jc w:val="center"/>
        <w:rPr>
          <w:rFonts w:hint="eastAsia" w:ascii="仿宋" w:hAnsi="仿宋" w:eastAsia="仿宋" w:cs="仿宋"/>
          <w:b/>
          <w:color w:val="auto"/>
          <w:sz w:val="44"/>
          <w:szCs w:val="44"/>
          <w:lang w:eastAsia="zh-CN"/>
        </w:rPr>
      </w:pPr>
      <w:r>
        <w:rPr>
          <w:rFonts w:hint="eastAsia" w:ascii="仿宋" w:hAnsi="仿宋" w:eastAsia="仿宋" w:cs="仿宋"/>
          <w:b/>
          <w:color w:val="auto"/>
          <w:sz w:val="44"/>
          <w:szCs w:val="44"/>
        </w:rPr>
        <w:t>酒钢集团宏兴钢铁股份有限公司</w:t>
      </w:r>
      <w:r>
        <w:rPr>
          <w:rFonts w:hint="eastAsia" w:ascii="仿宋" w:hAnsi="仿宋" w:eastAsia="仿宋" w:cs="仿宋"/>
          <w:b/>
          <w:color w:val="auto"/>
          <w:sz w:val="44"/>
          <w:szCs w:val="44"/>
          <w:lang w:eastAsia="zh-CN"/>
        </w:rPr>
        <w:t>炼铁厂</w:t>
      </w:r>
    </w:p>
    <w:p w14:paraId="4E75BA3B">
      <w:pPr>
        <w:snapToGrid w:val="0"/>
        <w:spacing w:line="360" w:lineRule="auto"/>
        <w:ind w:right="2" w:rightChars="1"/>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val="en-US" w:eastAsia="zh-CN"/>
        </w:rPr>
        <w:t>360m2</w:t>
      </w:r>
      <w:r>
        <w:rPr>
          <w:rFonts w:hint="eastAsia" w:ascii="仿宋" w:hAnsi="仿宋" w:eastAsia="仿宋" w:cs="仿宋"/>
          <w:b/>
          <w:color w:val="auto"/>
          <w:sz w:val="36"/>
          <w:szCs w:val="36"/>
        </w:rPr>
        <w:t>烧结机</w:t>
      </w:r>
      <w:r>
        <w:rPr>
          <w:rFonts w:hint="eastAsia" w:ascii="仿宋" w:hAnsi="仿宋" w:eastAsia="仿宋" w:cs="仿宋"/>
          <w:b/>
          <w:color w:val="auto"/>
          <w:sz w:val="36"/>
          <w:szCs w:val="36"/>
          <w:lang w:eastAsia="zh-CN"/>
        </w:rPr>
        <w:t>配套</w:t>
      </w:r>
      <w:r>
        <w:rPr>
          <w:rFonts w:hint="eastAsia" w:ascii="仿宋" w:hAnsi="仿宋" w:eastAsia="仿宋" w:cs="仿宋"/>
          <w:b/>
          <w:color w:val="auto"/>
          <w:sz w:val="36"/>
          <w:szCs w:val="36"/>
          <w:lang w:val="en-US" w:eastAsia="zh-CN"/>
        </w:rPr>
        <w:t>混合机SEW减速机骨架油封</w:t>
      </w:r>
      <w:r>
        <w:rPr>
          <w:rFonts w:hint="eastAsia" w:ascii="仿宋" w:hAnsi="仿宋" w:eastAsia="仿宋" w:cs="仿宋"/>
          <w:b/>
          <w:color w:val="auto"/>
          <w:sz w:val="36"/>
          <w:szCs w:val="36"/>
          <w:lang w:eastAsia="zh-CN"/>
        </w:rPr>
        <w:t>采购</w:t>
      </w:r>
    </w:p>
    <w:p w14:paraId="232D1911">
      <w:pPr>
        <w:snapToGrid w:val="0"/>
        <w:spacing w:line="360" w:lineRule="auto"/>
        <w:ind w:right="-447"/>
        <w:rPr>
          <w:rFonts w:hint="eastAsia" w:ascii="仿宋" w:hAnsi="仿宋" w:eastAsia="仿宋" w:cs="仿宋"/>
          <w:b/>
          <w:color w:val="auto"/>
          <w:sz w:val="36"/>
          <w:szCs w:val="48"/>
        </w:rPr>
      </w:pPr>
    </w:p>
    <w:p w14:paraId="7222B0C2">
      <w:pPr>
        <w:snapToGrid w:val="0"/>
        <w:spacing w:line="360" w:lineRule="auto"/>
        <w:ind w:right="-447"/>
        <w:rPr>
          <w:rFonts w:hint="eastAsia" w:ascii="仿宋" w:hAnsi="仿宋" w:eastAsia="仿宋" w:cs="仿宋"/>
          <w:b/>
          <w:color w:val="auto"/>
          <w:sz w:val="36"/>
          <w:szCs w:val="48"/>
        </w:rPr>
      </w:pPr>
    </w:p>
    <w:p w14:paraId="6909476C">
      <w:pPr>
        <w:snapToGrid w:val="0"/>
        <w:spacing w:line="360" w:lineRule="auto"/>
        <w:ind w:right="-447"/>
        <w:jc w:val="center"/>
        <w:rPr>
          <w:rFonts w:hint="eastAsia" w:ascii="仿宋" w:hAnsi="仿宋" w:eastAsia="仿宋" w:cs="仿宋"/>
          <w:b/>
          <w:color w:val="auto"/>
          <w:sz w:val="36"/>
          <w:szCs w:val="48"/>
          <w:lang w:eastAsia="zh-CN"/>
        </w:rPr>
      </w:pPr>
      <w:r>
        <w:rPr>
          <w:rFonts w:hint="eastAsia" w:ascii="仿宋" w:hAnsi="仿宋" w:eastAsia="仿宋" w:cs="仿宋"/>
          <w:b/>
          <w:color w:val="auto"/>
          <w:sz w:val="36"/>
          <w:szCs w:val="48"/>
        </w:rPr>
        <w:t>技术</w:t>
      </w:r>
      <w:r>
        <w:rPr>
          <w:rFonts w:hint="eastAsia" w:ascii="仿宋" w:hAnsi="仿宋" w:eastAsia="仿宋" w:cs="仿宋"/>
          <w:b/>
          <w:color w:val="auto"/>
          <w:sz w:val="36"/>
          <w:szCs w:val="48"/>
          <w:lang w:val="en-US" w:eastAsia="zh-CN"/>
        </w:rPr>
        <w:t>规格书</w:t>
      </w:r>
    </w:p>
    <w:p w14:paraId="31175A4C">
      <w:pPr>
        <w:snapToGrid w:val="0"/>
        <w:spacing w:line="360" w:lineRule="auto"/>
        <w:ind w:right="-447"/>
        <w:jc w:val="center"/>
        <w:rPr>
          <w:rFonts w:hint="eastAsia" w:ascii="仿宋" w:hAnsi="仿宋" w:eastAsia="仿宋" w:cs="仿宋"/>
          <w:b/>
          <w:bCs w:val="0"/>
          <w:color w:val="auto"/>
          <w:sz w:val="36"/>
          <w:szCs w:val="48"/>
          <w:lang w:eastAsia="zh-CN"/>
        </w:rPr>
      </w:pPr>
      <w:r>
        <w:rPr>
          <w:rFonts w:hint="eastAsia" w:ascii="仿宋" w:hAnsi="仿宋" w:eastAsia="仿宋" w:cs="仿宋"/>
          <w:b/>
          <w:bCs w:val="0"/>
          <w:color w:val="auto"/>
          <w:sz w:val="36"/>
          <w:szCs w:val="48"/>
          <w:lang w:eastAsia="zh-CN"/>
        </w:rPr>
        <w:t>（</w:t>
      </w:r>
      <w:r>
        <w:rPr>
          <w:rFonts w:hint="eastAsia" w:ascii="仿宋" w:hAnsi="仿宋" w:eastAsia="仿宋" w:cs="仿宋"/>
          <w:b/>
          <w:bCs w:val="0"/>
          <w:color w:val="auto"/>
          <w:sz w:val="36"/>
          <w:szCs w:val="48"/>
          <w:lang w:val="en-US" w:eastAsia="zh-CN"/>
        </w:rPr>
        <w:t>70457454</w:t>
      </w:r>
      <w:r>
        <w:rPr>
          <w:rFonts w:hint="eastAsia" w:ascii="仿宋" w:hAnsi="仿宋" w:eastAsia="仿宋" w:cs="仿宋"/>
          <w:b/>
          <w:bCs w:val="0"/>
          <w:color w:val="auto"/>
          <w:sz w:val="36"/>
          <w:szCs w:val="48"/>
          <w:lang w:eastAsia="zh-CN"/>
        </w:rPr>
        <w:t>、</w:t>
      </w:r>
      <w:r>
        <w:rPr>
          <w:rFonts w:hint="eastAsia" w:ascii="仿宋" w:hAnsi="仿宋" w:eastAsia="仿宋" w:cs="仿宋"/>
          <w:b/>
          <w:bCs w:val="0"/>
          <w:color w:val="auto"/>
          <w:sz w:val="36"/>
          <w:szCs w:val="48"/>
          <w:lang w:val="en-US" w:eastAsia="zh-CN"/>
        </w:rPr>
        <w:t>70457453</w:t>
      </w:r>
      <w:r>
        <w:rPr>
          <w:rFonts w:hint="eastAsia" w:ascii="仿宋" w:hAnsi="仿宋" w:eastAsia="仿宋" w:cs="仿宋"/>
          <w:b/>
          <w:bCs w:val="0"/>
          <w:color w:val="auto"/>
          <w:sz w:val="36"/>
          <w:szCs w:val="48"/>
          <w:lang w:eastAsia="zh-CN"/>
        </w:rPr>
        <w:t>、</w:t>
      </w:r>
      <w:r>
        <w:rPr>
          <w:rFonts w:hint="eastAsia" w:ascii="仿宋" w:hAnsi="仿宋" w:eastAsia="仿宋" w:cs="仿宋"/>
          <w:b/>
          <w:bCs w:val="0"/>
          <w:color w:val="auto"/>
          <w:sz w:val="36"/>
          <w:szCs w:val="48"/>
          <w:lang w:val="en-US" w:eastAsia="zh-CN"/>
        </w:rPr>
        <w:t>70457458</w:t>
      </w:r>
      <w:r>
        <w:rPr>
          <w:rFonts w:hint="eastAsia" w:ascii="仿宋" w:hAnsi="仿宋" w:eastAsia="仿宋" w:cs="仿宋"/>
          <w:b/>
          <w:bCs w:val="0"/>
          <w:color w:val="auto"/>
          <w:sz w:val="36"/>
          <w:szCs w:val="48"/>
          <w:lang w:eastAsia="zh-CN"/>
        </w:rPr>
        <w:t>、</w:t>
      </w:r>
      <w:r>
        <w:rPr>
          <w:rFonts w:hint="eastAsia" w:ascii="仿宋" w:hAnsi="仿宋" w:eastAsia="仿宋" w:cs="仿宋"/>
          <w:b/>
          <w:bCs w:val="0"/>
          <w:color w:val="auto"/>
          <w:sz w:val="36"/>
          <w:szCs w:val="48"/>
          <w:lang w:val="en-US" w:eastAsia="zh-CN"/>
        </w:rPr>
        <w:t>70053782、70457732、70053783</w:t>
      </w:r>
      <w:r>
        <w:rPr>
          <w:rFonts w:hint="eastAsia" w:ascii="仿宋" w:hAnsi="仿宋" w:eastAsia="仿宋" w:cs="仿宋"/>
          <w:b/>
          <w:bCs w:val="0"/>
          <w:color w:val="auto"/>
          <w:sz w:val="36"/>
          <w:szCs w:val="48"/>
          <w:lang w:eastAsia="zh-CN"/>
        </w:rPr>
        <w:t>）</w:t>
      </w:r>
    </w:p>
    <w:p w14:paraId="093D3F69">
      <w:pPr>
        <w:snapToGrid w:val="0"/>
        <w:spacing w:line="360" w:lineRule="auto"/>
        <w:ind w:right="-447"/>
        <w:jc w:val="center"/>
        <w:rPr>
          <w:rFonts w:hint="eastAsia" w:ascii="仿宋" w:hAnsi="仿宋" w:eastAsia="仿宋" w:cs="仿宋"/>
          <w:b/>
          <w:color w:val="auto"/>
          <w:sz w:val="36"/>
          <w:szCs w:val="48"/>
        </w:rPr>
      </w:pPr>
    </w:p>
    <w:p w14:paraId="7CF4DE54">
      <w:pPr>
        <w:snapToGrid w:val="0"/>
        <w:spacing w:line="360" w:lineRule="auto"/>
        <w:ind w:right="-447"/>
        <w:jc w:val="center"/>
        <w:rPr>
          <w:rFonts w:hint="eastAsia" w:ascii="仿宋" w:hAnsi="仿宋" w:eastAsia="仿宋" w:cs="仿宋"/>
          <w:b/>
          <w:color w:val="auto"/>
          <w:sz w:val="36"/>
          <w:szCs w:val="48"/>
        </w:rPr>
      </w:pPr>
    </w:p>
    <w:p w14:paraId="5D44C78A">
      <w:pPr>
        <w:snapToGrid w:val="0"/>
        <w:spacing w:line="360" w:lineRule="auto"/>
        <w:ind w:right="-447"/>
        <w:jc w:val="center"/>
        <w:rPr>
          <w:rFonts w:hint="eastAsia" w:ascii="仿宋" w:hAnsi="仿宋" w:eastAsia="仿宋" w:cs="仿宋"/>
          <w:b/>
          <w:color w:val="auto"/>
          <w:sz w:val="36"/>
          <w:szCs w:val="48"/>
        </w:rPr>
      </w:pPr>
    </w:p>
    <w:p w14:paraId="78F40056">
      <w:pPr>
        <w:snapToGrid w:val="0"/>
        <w:spacing w:line="360" w:lineRule="auto"/>
        <w:ind w:right="2" w:rightChars="1" w:firstLine="703" w:firstLineChars="25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甲方：甘肃酒钢集团宏兴钢铁股份有限公司</w:t>
      </w:r>
      <w:r>
        <w:rPr>
          <w:rFonts w:hint="eastAsia" w:ascii="仿宋" w:hAnsi="仿宋" w:eastAsia="仿宋" w:cs="仿宋"/>
          <w:b/>
          <w:color w:val="auto"/>
          <w:sz w:val="28"/>
          <w:szCs w:val="28"/>
          <w:lang w:eastAsia="zh-CN"/>
        </w:rPr>
        <w:t>炼铁厂</w:t>
      </w:r>
    </w:p>
    <w:p w14:paraId="7D4074D7">
      <w:pPr>
        <w:spacing w:before="100" w:beforeAutospacing="1" w:after="100" w:afterAutospacing="1" w:line="360" w:lineRule="auto"/>
        <w:ind w:firstLine="722" w:firstLineChars="257"/>
        <w:rPr>
          <w:rFonts w:hint="eastAsia" w:ascii="仿宋" w:hAnsi="仿宋" w:eastAsia="仿宋" w:cs="仿宋"/>
          <w:b/>
          <w:bCs/>
          <w:color w:val="auto"/>
          <w:sz w:val="28"/>
          <w:szCs w:val="28"/>
        </w:rPr>
      </w:pPr>
      <w:r>
        <w:rPr>
          <w:rFonts w:hint="eastAsia" w:ascii="仿宋" w:hAnsi="仿宋" w:eastAsia="仿宋" w:cs="仿宋"/>
          <w:b/>
          <w:bCs/>
          <w:color w:val="auto"/>
          <w:sz w:val="28"/>
          <w:szCs w:val="28"/>
        </w:rPr>
        <w:t>甲方代表（签字）：</w:t>
      </w:r>
    </w:p>
    <w:p w14:paraId="1AC83269">
      <w:pPr>
        <w:spacing w:before="100" w:beforeAutospacing="1" w:after="100" w:afterAutospacing="1" w:line="360" w:lineRule="auto"/>
        <w:ind w:firstLine="722" w:firstLineChars="257"/>
        <w:rPr>
          <w:rFonts w:hint="eastAsia" w:ascii="仿宋" w:hAnsi="仿宋" w:eastAsia="仿宋" w:cs="仿宋"/>
          <w:b/>
          <w:color w:val="auto"/>
          <w:sz w:val="28"/>
          <w:szCs w:val="28"/>
        </w:rPr>
      </w:pPr>
      <w:r>
        <w:rPr>
          <w:rFonts w:hint="eastAsia" w:ascii="仿宋" w:hAnsi="仿宋" w:eastAsia="仿宋" w:cs="仿宋"/>
          <w:b/>
          <w:color w:val="auto"/>
          <w:sz w:val="28"/>
          <w:szCs w:val="28"/>
        </w:rPr>
        <w:t>乙方：</w:t>
      </w:r>
    </w:p>
    <w:p w14:paraId="144E1750">
      <w:pPr>
        <w:snapToGrid w:val="0"/>
        <w:spacing w:before="100" w:beforeAutospacing="1" w:after="100" w:afterAutospacing="1" w:line="360" w:lineRule="auto"/>
        <w:ind w:right="-447" w:firstLine="722" w:firstLineChars="257"/>
        <w:rPr>
          <w:rFonts w:hint="eastAsia" w:ascii="仿宋" w:hAnsi="仿宋" w:eastAsia="仿宋" w:cs="仿宋"/>
          <w:b/>
          <w:color w:val="auto"/>
          <w:sz w:val="28"/>
          <w:szCs w:val="28"/>
        </w:rPr>
      </w:pPr>
      <w:r>
        <w:rPr>
          <w:rFonts w:hint="eastAsia" w:ascii="仿宋" w:hAnsi="仿宋" w:eastAsia="仿宋" w:cs="仿宋"/>
          <w:b/>
          <w:color w:val="auto"/>
          <w:sz w:val="28"/>
          <w:szCs w:val="28"/>
        </w:rPr>
        <w:t>乙方代表（签字）：</w:t>
      </w:r>
    </w:p>
    <w:p w14:paraId="666AFEF9">
      <w:pPr>
        <w:snapToGrid w:val="0"/>
        <w:spacing w:before="100" w:beforeAutospacing="1" w:after="100" w:afterAutospacing="1" w:line="360" w:lineRule="auto"/>
        <w:ind w:right="-447" w:firstLine="1349" w:firstLineChars="420"/>
        <w:rPr>
          <w:rFonts w:hint="eastAsia" w:ascii="仿宋" w:hAnsi="仿宋" w:eastAsia="仿宋" w:cs="仿宋"/>
          <w:b/>
          <w:color w:val="auto"/>
          <w:sz w:val="32"/>
          <w:szCs w:val="32"/>
        </w:rPr>
      </w:pPr>
    </w:p>
    <w:p w14:paraId="4E2BF562">
      <w:pPr>
        <w:snapToGrid w:val="0"/>
        <w:spacing w:before="100" w:beforeAutospacing="1" w:after="100" w:afterAutospacing="1" w:line="360" w:lineRule="auto"/>
        <w:ind w:right="-447" w:firstLine="1349" w:firstLineChars="420"/>
        <w:rPr>
          <w:rFonts w:hint="eastAsia" w:ascii="仿宋" w:hAnsi="仿宋" w:eastAsia="仿宋" w:cs="仿宋"/>
          <w:b/>
          <w:color w:val="auto"/>
          <w:sz w:val="32"/>
          <w:szCs w:val="32"/>
        </w:rPr>
      </w:pPr>
    </w:p>
    <w:p w14:paraId="2112279C">
      <w:pPr>
        <w:snapToGrid w:val="0"/>
        <w:spacing w:before="100" w:beforeAutospacing="1" w:after="100" w:afterAutospacing="1" w:line="360" w:lineRule="auto"/>
        <w:ind w:right="-447" w:firstLine="1349" w:firstLineChars="420"/>
        <w:rPr>
          <w:rFonts w:hint="eastAsia" w:ascii="仿宋" w:hAnsi="仿宋" w:eastAsia="仿宋" w:cs="仿宋"/>
          <w:b/>
          <w:color w:val="auto"/>
          <w:sz w:val="32"/>
          <w:szCs w:val="32"/>
        </w:rPr>
      </w:pPr>
    </w:p>
    <w:p w14:paraId="310784E8">
      <w:pPr>
        <w:widowControl/>
        <w:spacing w:before="100" w:beforeAutospacing="1" w:after="100" w:afterAutospacing="1" w:line="360" w:lineRule="auto"/>
        <w:ind w:right="72" w:rightChars="30" w:firstLine="5409" w:firstLineChars="1796"/>
        <w:rPr>
          <w:rFonts w:hint="eastAsia" w:ascii="仿宋" w:hAnsi="仿宋" w:eastAsia="仿宋" w:cs="仿宋"/>
          <w:color w:val="auto"/>
          <w:sz w:val="48"/>
          <w:szCs w:val="48"/>
        </w:rPr>
      </w:pPr>
      <w:r>
        <w:rPr>
          <w:rFonts w:hint="eastAsia" w:ascii="仿宋" w:hAnsi="仿宋" w:eastAsia="仿宋" w:cs="仿宋"/>
          <w:b/>
          <w:color w:val="auto"/>
          <w:sz w:val="30"/>
          <w:szCs w:val="30"/>
        </w:rPr>
        <w:t>20</w:t>
      </w:r>
      <w:r>
        <w:rPr>
          <w:rFonts w:hint="eastAsia" w:ascii="仿宋" w:hAnsi="仿宋" w:eastAsia="仿宋" w:cs="仿宋"/>
          <w:b/>
          <w:color w:val="auto"/>
          <w:sz w:val="30"/>
          <w:szCs w:val="30"/>
          <w:lang w:val="en-US" w:eastAsia="zh-CN"/>
        </w:rPr>
        <w:t>26</w:t>
      </w:r>
      <w:r>
        <w:rPr>
          <w:rFonts w:hint="eastAsia" w:ascii="仿宋" w:hAnsi="仿宋" w:eastAsia="仿宋" w:cs="仿宋"/>
          <w:b/>
          <w:color w:val="auto"/>
          <w:sz w:val="30"/>
          <w:szCs w:val="30"/>
        </w:rPr>
        <w:t xml:space="preserve">年 </w:t>
      </w:r>
      <w:r>
        <w:rPr>
          <w:rFonts w:hint="eastAsia" w:ascii="仿宋" w:hAnsi="仿宋" w:eastAsia="仿宋" w:cs="仿宋"/>
          <w:b/>
          <w:color w:val="auto"/>
          <w:sz w:val="30"/>
          <w:szCs w:val="30"/>
          <w:lang w:val="en-US" w:eastAsia="zh-CN"/>
        </w:rPr>
        <w:t>6</w:t>
      </w:r>
      <w:r>
        <w:rPr>
          <w:rFonts w:hint="eastAsia" w:ascii="仿宋" w:hAnsi="仿宋" w:eastAsia="仿宋" w:cs="仿宋"/>
          <w:b/>
          <w:color w:val="auto"/>
          <w:sz w:val="30"/>
          <w:szCs w:val="30"/>
        </w:rPr>
        <w:t>月</w:t>
      </w:r>
      <w:r>
        <w:rPr>
          <w:rFonts w:hint="eastAsia" w:ascii="仿宋" w:hAnsi="仿宋" w:eastAsia="仿宋" w:cs="仿宋"/>
          <w:b/>
          <w:color w:val="auto"/>
          <w:sz w:val="30"/>
          <w:szCs w:val="30"/>
          <w:lang w:val="en-US" w:eastAsia="zh-CN"/>
        </w:rPr>
        <w:t>1</w:t>
      </w:r>
      <w:r>
        <w:rPr>
          <w:rFonts w:hint="eastAsia" w:ascii="仿宋" w:hAnsi="仿宋" w:eastAsia="仿宋" w:cs="仿宋"/>
          <w:b/>
          <w:color w:val="auto"/>
          <w:sz w:val="30"/>
          <w:szCs w:val="30"/>
        </w:rPr>
        <w:t>日</w:t>
      </w:r>
    </w:p>
    <w:p w14:paraId="2003CA8E">
      <w:pPr>
        <w:spacing w:line="360" w:lineRule="auto"/>
        <w:jc w:val="center"/>
        <w:rPr>
          <w:rFonts w:hint="eastAsia" w:ascii="仿宋" w:hAnsi="仿宋" w:eastAsia="仿宋" w:cs="仿宋"/>
          <w:b/>
          <w:color w:val="auto"/>
          <w:sz w:val="36"/>
          <w:szCs w:val="44"/>
        </w:rPr>
      </w:pPr>
    </w:p>
    <w:p w14:paraId="67A289BE">
      <w:pPr>
        <w:spacing w:line="360" w:lineRule="auto"/>
        <w:rPr>
          <w:rFonts w:hint="eastAsia" w:ascii="仿宋" w:hAnsi="仿宋" w:eastAsia="仿宋" w:cs="仿宋"/>
          <w:bCs/>
          <w:color w:val="auto"/>
        </w:rPr>
      </w:pPr>
    </w:p>
    <w:p w14:paraId="40486B51">
      <w:pPr>
        <w:spacing w:line="360" w:lineRule="auto"/>
        <w:rPr>
          <w:rFonts w:hint="eastAsia" w:ascii="仿宋" w:hAnsi="仿宋" w:eastAsia="仿宋" w:cs="仿宋"/>
          <w:bCs/>
          <w:color w:val="auto"/>
        </w:rPr>
      </w:pPr>
    </w:p>
    <w:p w14:paraId="6435219E">
      <w:pPr>
        <w:spacing w:line="360" w:lineRule="auto"/>
        <w:ind w:firstLine="3791" w:firstLineChars="1049"/>
        <w:rPr>
          <w:rFonts w:hint="eastAsia" w:ascii="仿宋" w:hAnsi="仿宋" w:eastAsia="仿宋" w:cs="仿宋"/>
          <w:b/>
          <w:color w:val="auto"/>
          <w:sz w:val="36"/>
          <w:szCs w:val="36"/>
        </w:rPr>
      </w:pPr>
      <w:r>
        <w:rPr>
          <w:rFonts w:hint="eastAsia" w:ascii="仿宋" w:hAnsi="仿宋" w:eastAsia="仿宋" w:cs="仿宋"/>
          <w:b/>
          <w:color w:val="auto"/>
          <w:sz w:val="36"/>
          <w:szCs w:val="36"/>
        </w:rPr>
        <w:t>目    录</w:t>
      </w:r>
    </w:p>
    <w:p w14:paraId="7211D893">
      <w:pPr>
        <w:spacing w:line="360" w:lineRule="auto"/>
        <w:ind w:firstLine="3791" w:firstLineChars="1049"/>
        <w:rPr>
          <w:rFonts w:hint="eastAsia" w:ascii="仿宋" w:hAnsi="仿宋" w:eastAsia="仿宋" w:cs="仿宋"/>
          <w:b/>
          <w:color w:val="auto"/>
          <w:sz w:val="36"/>
          <w:szCs w:val="36"/>
        </w:rPr>
      </w:pPr>
    </w:p>
    <w:p w14:paraId="32273600">
      <w:pPr>
        <w:spacing w:before="100" w:beforeAutospacing="1" w:after="100" w:afterAutospacing="1" w:line="480" w:lineRule="auto"/>
        <w:ind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rPr>
        <w:t>附件一    总则</w:t>
      </w:r>
    </w:p>
    <w:p w14:paraId="6C56BB36">
      <w:pPr>
        <w:spacing w:before="100" w:beforeAutospacing="1" w:after="100" w:afterAutospacing="1" w:line="480" w:lineRule="auto"/>
        <w:ind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rPr>
        <w:t>附件二    制造要求</w:t>
      </w:r>
    </w:p>
    <w:p w14:paraId="0594A4C3">
      <w:pPr>
        <w:spacing w:before="100" w:beforeAutospacing="1" w:after="100" w:afterAutospacing="1" w:line="480" w:lineRule="auto"/>
        <w:ind w:firstLine="2529" w:firstLineChars="926"/>
        <w:rPr>
          <w:rFonts w:hint="eastAsia" w:ascii="仿宋" w:hAnsi="仿宋" w:eastAsia="仿宋" w:cs="仿宋"/>
          <w:b/>
          <w:color w:val="auto"/>
          <w:spacing w:val="-4"/>
          <w:kern w:val="28"/>
          <w:sz w:val="28"/>
          <w:szCs w:val="28"/>
        </w:rPr>
      </w:pPr>
      <w:r>
        <w:rPr>
          <w:rFonts w:hint="eastAsia" w:ascii="仿宋" w:hAnsi="仿宋" w:eastAsia="仿宋" w:cs="仿宋"/>
          <w:b/>
          <w:color w:val="auto"/>
          <w:spacing w:val="-4"/>
          <w:kern w:val="28"/>
          <w:sz w:val="28"/>
          <w:szCs w:val="28"/>
        </w:rPr>
        <w:t xml:space="preserve">附件三    </w:t>
      </w:r>
      <w:r>
        <w:rPr>
          <w:rFonts w:hint="eastAsia" w:ascii="仿宋" w:hAnsi="仿宋" w:eastAsia="仿宋" w:cs="仿宋"/>
          <w:b/>
          <w:bCs w:val="0"/>
          <w:color w:val="auto"/>
          <w:kern w:val="0"/>
          <w:sz w:val="28"/>
          <w:szCs w:val="28"/>
          <w:lang w:val="en-US" w:eastAsia="zh-CN" w:bidi="ar-SA"/>
        </w:rPr>
        <w:t>密封性能要求</w:t>
      </w:r>
    </w:p>
    <w:p w14:paraId="2BFD5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520" w:firstLineChars="900"/>
        <w:jc w:val="left"/>
        <w:rPr>
          <w:rFonts w:hint="eastAsia" w:ascii="仿宋" w:hAnsi="仿宋" w:eastAsia="仿宋" w:cs="仿宋"/>
          <w:b/>
          <w:bCs w:val="0"/>
          <w:color w:val="auto"/>
          <w:kern w:val="0"/>
          <w:sz w:val="28"/>
          <w:szCs w:val="28"/>
          <w:lang w:val="en-US" w:eastAsia="zh-CN" w:bidi="ar-SA"/>
        </w:rPr>
      </w:pPr>
      <w:r>
        <w:rPr>
          <w:rFonts w:hint="eastAsia" w:ascii="仿宋" w:hAnsi="仿宋" w:eastAsia="仿宋" w:cs="仿宋"/>
          <w:b w:val="0"/>
          <w:color w:val="auto"/>
          <w:sz w:val="28"/>
          <w:szCs w:val="28"/>
        </w:rPr>
        <w:t xml:space="preserve">附件四    </w:t>
      </w:r>
      <w:r>
        <w:rPr>
          <w:rFonts w:hint="eastAsia" w:ascii="仿宋" w:hAnsi="仿宋" w:eastAsia="仿宋" w:cs="仿宋"/>
          <w:b/>
          <w:bCs w:val="0"/>
          <w:color w:val="auto"/>
          <w:kern w:val="0"/>
          <w:sz w:val="28"/>
          <w:szCs w:val="28"/>
          <w:lang w:val="en-US" w:eastAsia="zh-CN" w:bidi="ar-SA"/>
        </w:rPr>
        <w:t>外观质量及标识要求</w:t>
      </w:r>
    </w:p>
    <w:p w14:paraId="3DC02C1E">
      <w:pPr>
        <w:rPr>
          <w:rFonts w:hint="eastAsia" w:ascii="仿宋" w:hAnsi="仿宋" w:eastAsia="仿宋" w:cs="仿宋"/>
        </w:rPr>
      </w:pPr>
    </w:p>
    <w:p w14:paraId="7B149519">
      <w:pPr>
        <w:spacing w:before="100" w:beforeAutospacing="1" w:after="100" w:afterAutospacing="1" w:line="480" w:lineRule="auto"/>
        <w:ind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rPr>
        <w:t>附件五    售后服务</w:t>
      </w:r>
    </w:p>
    <w:p w14:paraId="3D1474CD">
      <w:pPr>
        <w:tabs>
          <w:tab w:val="left" w:pos="0"/>
          <w:tab w:val="left" w:pos="720"/>
          <w:tab w:val="left" w:pos="900"/>
          <w:tab w:val="left" w:pos="1080"/>
        </w:tabs>
        <w:spacing w:before="100" w:beforeAutospacing="1" w:after="100" w:afterAutospacing="1" w:line="480" w:lineRule="auto"/>
        <w:ind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rPr>
        <w:t>附件六    交货时间及地点</w:t>
      </w:r>
    </w:p>
    <w:p w14:paraId="606D8998">
      <w:pPr>
        <w:tabs>
          <w:tab w:val="left" w:pos="0"/>
          <w:tab w:val="left" w:pos="720"/>
          <w:tab w:val="left" w:pos="900"/>
          <w:tab w:val="left" w:pos="1080"/>
        </w:tabs>
        <w:spacing w:before="100" w:beforeAutospacing="1" w:after="100" w:afterAutospacing="1" w:line="480" w:lineRule="auto"/>
        <w:ind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rPr>
        <w:t>附件七    其它</w:t>
      </w:r>
    </w:p>
    <w:p w14:paraId="4DF47E4F">
      <w:pPr>
        <w:snapToGrid w:val="0"/>
        <w:spacing w:line="360" w:lineRule="auto"/>
        <w:ind w:right="-447"/>
        <w:jc w:val="both"/>
        <w:rPr>
          <w:rFonts w:hint="eastAsia" w:ascii="仿宋" w:hAnsi="仿宋" w:eastAsia="仿宋" w:cs="仿宋"/>
          <w:b/>
          <w:color w:val="auto"/>
          <w:sz w:val="28"/>
          <w:szCs w:val="28"/>
        </w:rPr>
      </w:pPr>
    </w:p>
    <w:p w14:paraId="3964EAFE">
      <w:pPr>
        <w:snapToGrid w:val="0"/>
        <w:spacing w:line="360" w:lineRule="auto"/>
        <w:ind w:right="-447"/>
        <w:jc w:val="both"/>
        <w:rPr>
          <w:rFonts w:hint="eastAsia" w:ascii="仿宋" w:hAnsi="仿宋" w:eastAsia="仿宋" w:cs="仿宋"/>
          <w:b/>
          <w:color w:val="auto"/>
          <w:sz w:val="28"/>
          <w:szCs w:val="28"/>
        </w:rPr>
      </w:pPr>
    </w:p>
    <w:p w14:paraId="27B41E12">
      <w:pPr>
        <w:snapToGrid w:val="0"/>
        <w:spacing w:line="360" w:lineRule="auto"/>
        <w:ind w:right="-447"/>
        <w:jc w:val="both"/>
        <w:rPr>
          <w:rFonts w:hint="eastAsia" w:ascii="仿宋" w:hAnsi="仿宋" w:eastAsia="仿宋" w:cs="仿宋"/>
          <w:b/>
          <w:color w:val="auto"/>
          <w:sz w:val="28"/>
          <w:szCs w:val="28"/>
        </w:rPr>
      </w:pPr>
    </w:p>
    <w:p w14:paraId="0C8EBBAF">
      <w:pPr>
        <w:snapToGrid w:val="0"/>
        <w:spacing w:line="360" w:lineRule="auto"/>
        <w:ind w:right="-447"/>
        <w:jc w:val="both"/>
        <w:rPr>
          <w:rFonts w:hint="eastAsia" w:ascii="仿宋" w:hAnsi="仿宋" w:eastAsia="仿宋" w:cs="仿宋"/>
          <w:b/>
          <w:color w:val="auto"/>
          <w:sz w:val="28"/>
          <w:szCs w:val="28"/>
        </w:rPr>
      </w:pPr>
    </w:p>
    <w:p w14:paraId="30F40AE4">
      <w:pPr>
        <w:snapToGrid w:val="0"/>
        <w:spacing w:line="360" w:lineRule="auto"/>
        <w:ind w:right="-447"/>
        <w:jc w:val="both"/>
        <w:rPr>
          <w:rFonts w:hint="eastAsia" w:ascii="仿宋" w:hAnsi="仿宋" w:eastAsia="仿宋" w:cs="仿宋"/>
          <w:b/>
          <w:color w:val="auto"/>
          <w:sz w:val="28"/>
          <w:szCs w:val="28"/>
        </w:rPr>
      </w:pPr>
    </w:p>
    <w:p w14:paraId="5C189473">
      <w:pPr>
        <w:snapToGrid w:val="0"/>
        <w:spacing w:line="360" w:lineRule="auto"/>
        <w:ind w:right="-447"/>
        <w:jc w:val="both"/>
        <w:rPr>
          <w:rFonts w:hint="eastAsia" w:ascii="仿宋" w:hAnsi="仿宋" w:eastAsia="仿宋" w:cs="仿宋"/>
          <w:b/>
          <w:color w:val="auto"/>
          <w:sz w:val="28"/>
          <w:szCs w:val="28"/>
        </w:rPr>
      </w:pPr>
    </w:p>
    <w:p w14:paraId="1112A9F0">
      <w:pPr>
        <w:snapToGrid w:val="0"/>
        <w:spacing w:line="360" w:lineRule="auto"/>
        <w:ind w:right="-447"/>
        <w:jc w:val="both"/>
        <w:rPr>
          <w:rFonts w:hint="eastAsia" w:ascii="仿宋" w:hAnsi="仿宋" w:eastAsia="仿宋" w:cs="仿宋"/>
          <w:b/>
          <w:color w:val="auto"/>
          <w:sz w:val="28"/>
          <w:szCs w:val="28"/>
        </w:rPr>
      </w:pPr>
    </w:p>
    <w:p w14:paraId="5238CD92">
      <w:pPr>
        <w:snapToGrid w:val="0"/>
        <w:spacing w:line="360" w:lineRule="auto"/>
        <w:ind w:right="-15" w:firstLine="525" w:firstLineChars="250"/>
        <w:rPr>
          <w:rFonts w:hint="eastAsia" w:ascii="仿宋" w:hAnsi="仿宋" w:eastAsia="仿宋" w:cs="仿宋"/>
          <w:b/>
          <w:color w:val="auto"/>
          <w:sz w:val="21"/>
          <w:szCs w:val="21"/>
        </w:rPr>
      </w:pPr>
      <w:r>
        <w:rPr>
          <w:rFonts w:hint="eastAsia" w:ascii="仿宋" w:hAnsi="仿宋" w:eastAsia="仿宋" w:cs="仿宋"/>
          <w:color w:val="auto"/>
          <w:sz w:val="21"/>
          <w:szCs w:val="21"/>
        </w:rPr>
        <w:t xml:space="preserve">  甘肃酒钢集团宏兴钢铁股份有限公司</w:t>
      </w:r>
      <w:r>
        <w:rPr>
          <w:rFonts w:hint="eastAsia" w:ascii="仿宋" w:hAnsi="仿宋" w:eastAsia="仿宋" w:cs="仿宋"/>
          <w:color w:val="auto"/>
          <w:sz w:val="21"/>
          <w:szCs w:val="21"/>
          <w:lang w:eastAsia="zh-CN"/>
        </w:rPr>
        <w:t>炼铁厂</w:t>
      </w:r>
      <w:r>
        <w:rPr>
          <w:rFonts w:hint="eastAsia" w:ascii="仿宋" w:hAnsi="仿宋" w:eastAsia="仿宋" w:cs="仿宋"/>
          <w:color w:val="auto"/>
          <w:sz w:val="21"/>
          <w:szCs w:val="21"/>
        </w:rPr>
        <w:t>（以下称甲方）与</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（以下称乙方）就甲方</w:t>
      </w:r>
      <w:r>
        <w:rPr>
          <w:rFonts w:hint="eastAsia" w:ascii="仿宋" w:hAnsi="仿宋" w:eastAsia="仿宋" w:cs="仿宋"/>
          <w:color w:val="auto"/>
          <w:sz w:val="21"/>
          <w:szCs w:val="21"/>
          <w:lang w:val="en-US" w:eastAsia="zh-CN"/>
        </w:rPr>
        <w:t>360m2</w:t>
      </w:r>
      <w:r>
        <w:rPr>
          <w:rFonts w:hint="eastAsia" w:ascii="仿宋" w:hAnsi="仿宋" w:eastAsia="仿宋" w:cs="仿宋"/>
          <w:color w:val="auto"/>
          <w:sz w:val="21"/>
          <w:szCs w:val="21"/>
        </w:rPr>
        <w:t>烧结机</w:t>
      </w:r>
      <w:r>
        <w:rPr>
          <w:rFonts w:hint="eastAsia" w:ascii="仿宋" w:hAnsi="仿宋" w:eastAsia="仿宋" w:cs="仿宋"/>
          <w:color w:val="auto"/>
          <w:sz w:val="21"/>
          <w:szCs w:val="21"/>
          <w:lang w:val="en-US" w:eastAsia="zh-CN"/>
        </w:rPr>
        <w:t>混合机减速机油封</w:t>
      </w:r>
      <w:r>
        <w:rPr>
          <w:rFonts w:hint="eastAsia" w:ascii="仿宋" w:hAnsi="仿宋" w:eastAsia="仿宋" w:cs="仿宋"/>
          <w:color w:val="auto"/>
          <w:sz w:val="21"/>
          <w:szCs w:val="21"/>
          <w:lang w:eastAsia="zh-CN"/>
        </w:rPr>
        <w:t>备件</w:t>
      </w:r>
      <w:r>
        <w:rPr>
          <w:rFonts w:hint="eastAsia" w:ascii="仿宋" w:hAnsi="仿宋" w:eastAsia="仿宋" w:cs="仿宋"/>
          <w:color w:val="auto"/>
          <w:sz w:val="21"/>
          <w:szCs w:val="21"/>
        </w:rPr>
        <w:t>经双方协商，达成如下技术协议：</w:t>
      </w:r>
    </w:p>
    <w:p w14:paraId="5B0C48AD">
      <w:pPr>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附件一 总则</w:t>
      </w:r>
    </w:p>
    <w:p w14:paraId="308293A2">
      <w:pPr>
        <w:tabs>
          <w:tab w:val="left" w:pos="1080"/>
        </w:tabs>
        <w:spacing w:line="360" w:lineRule="auto"/>
        <w:ind w:firstLine="600" w:firstLineChars="250"/>
        <w:rPr>
          <w:rFonts w:hint="eastAsia" w:ascii="仿宋" w:hAnsi="仿宋" w:eastAsia="仿宋" w:cs="仿宋"/>
          <w:color w:val="auto"/>
          <w:szCs w:val="21"/>
        </w:rPr>
      </w:pPr>
      <w:r>
        <w:rPr>
          <w:rFonts w:hint="eastAsia" w:ascii="仿宋" w:hAnsi="仿宋" w:eastAsia="仿宋" w:cs="仿宋"/>
          <w:color w:val="auto"/>
          <w:szCs w:val="21"/>
        </w:rPr>
        <w:t>本技术协议作为甲方设备订货合同的附件，与订货合同同时生效，具有同等法律效力。合同执行期间双方再协商形成的补充协议和追加条款也具有同等法律效力。</w:t>
      </w:r>
    </w:p>
    <w:p w14:paraId="1D8D935B">
      <w:pPr>
        <w:tabs>
          <w:tab w:val="left" w:pos="1080"/>
        </w:tabs>
        <w:spacing w:line="360" w:lineRule="auto"/>
        <w:ind w:firstLine="525" w:firstLineChars="250"/>
        <w:rPr>
          <w:rFonts w:hint="eastAsia" w:ascii="仿宋" w:hAnsi="仿宋" w:eastAsia="仿宋" w:cs="仿宋"/>
          <w:color w:val="auto"/>
          <w:sz w:val="21"/>
        </w:rPr>
      </w:pPr>
      <w:r>
        <w:rPr>
          <w:rFonts w:hint="eastAsia" w:ascii="仿宋" w:hAnsi="仿宋" w:eastAsia="仿宋" w:cs="仿宋"/>
          <w:color w:val="auto"/>
          <w:sz w:val="21"/>
        </w:rPr>
        <w:t>本技术协议作为甲方订货合同的附件，与订货合同同时生效，具有同等法律效力。合同执行期间双方再协商形成的补充协议和追加条款也具有同等法律效力。</w:t>
      </w:r>
    </w:p>
    <w:p w14:paraId="03648E26">
      <w:pPr>
        <w:tabs>
          <w:tab w:val="left" w:pos="540"/>
          <w:tab w:val="left" w:pos="720"/>
          <w:tab w:val="left" w:pos="1080"/>
        </w:tabs>
        <w:adjustRightInd/>
        <w:spacing w:line="360" w:lineRule="auto"/>
        <w:ind w:firstLine="420" w:firstLineChars="200"/>
        <w:jc w:val="both"/>
        <w:textAlignment w:val="auto"/>
        <w:rPr>
          <w:rFonts w:hint="eastAsia" w:ascii="仿宋" w:hAnsi="仿宋" w:eastAsia="仿宋" w:cs="仿宋"/>
          <w:color w:val="auto"/>
          <w:sz w:val="21"/>
        </w:rPr>
      </w:pPr>
      <w:r>
        <w:rPr>
          <w:rFonts w:hint="eastAsia" w:ascii="仿宋" w:hAnsi="仿宋" w:eastAsia="仿宋" w:cs="仿宋"/>
          <w:color w:val="auto"/>
          <w:sz w:val="21"/>
        </w:rPr>
        <w:t>1.1本技术协议所提出的是最低标准的技术要求，并未对一切技术细节</w:t>
      </w:r>
      <w:r>
        <w:rPr>
          <w:rFonts w:hint="eastAsia" w:ascii="仿宋" w:hAnsi="仿宋" w:eastAsia="仿宋" w:cs="仿宋"/>
          <w:color w:val="auto"/>
          <w:sz w:val="21"/>
          <w:lang w:eastAsia="zh-CN"/>
        </w:rPr>
        <w:t>作出</w:t>
      </w:r>
      <w:r>
        <w:rPr>
          <w:rFonts w:hint="eastAsia" w:ascii="仿宋" w:hAnsi="仿宋" w:eastAsia="仿宋" w:cs="仿宋"/>
          <w:color w:val="auto"/>
          <w:sz w:val="21"/>
        </w:rPr>
        <w:t>规定，也未充分引述有关标准和规范的条文，乙方应保证提供符合有关标准和技术文件的优质产品；</w:t>
      </w:r>
    </w:p>
    <w:p w14:paraId="2CD9D875">
      <w:pPr>
        <w:tabs>
          <w:tab w:val="left" w:pos="540"/>
          <w:tab w:val="left" w:pos="720"/>
          <w:tab w:val="left" w:pos="1080"/>
        </w:tabs>
        <w:adjustRightInd/>
        <w:spacing w:line="360" w:lineRule="auto"/>
        <w:ind w:firstLine="420" w:firstLineChars="200"/>
        <w:jc w:val="both"/>
        <w:textAlignment w:val="auto"/>
        <w:rPr>
          <w:rFonts w:hint="eastAsia" w:ascii="仿宋" w:hAnsi="仿宋" w:eastAsia="仿宋" w:cs="仿宋"/>
          <w:color w:val="auto"/>
          <w:sz w:val="21"/>
        </w:rPr>
      </w:pPr>
      <w:r>
        <w:rPr>
          <w:rFonts w:hint="eastAsia" w:ascii="仿宋" w:hAnsi="仿宋" w:eastAsia="仿宋" w:cs="仿宋"/>
          <w:color w:val="auto"/>
          <w:sz w:val="21"/>
        </w:rPr>
        <w:t xml:space="preserve">1.2乙方提供的备件必须具有国内同行业近几年内的先进制造水平，采用先进工艺，合格材料，成熟的技术或专利技术； </w:t>
      </w:r>
    </w:p>
    <w:p w14:paraId="351F609F">
      <w:pPr>
        <w:tabs>
          <w:tab w:val="left" w:pos="540"/>
          <w:tab w:val="left" w:pos="720"/>
          <w:tab w:val="left" w:pos="1080"/>
        </w:tabs>
        <w:adjustRightInd/>
        <w:spacing w:line="360" w:lineRule="auto"/>
        <w:ind w:firstLine="420" w:firstLineChars="200"/>
        <w:jc w:val="both"/>
        <w:textAlignment w:val="auto"/>
        <w:rPr>
          <w:rFonts w:hint="eastAsia" w:ascii="仿宋" w:hAnsi="仿宋" w:eastAsia="仿宋" w:cs="仿宋"/>
          <w:color w:val="auto"/>
          <w:sz w:val="21"/>
        </w:rPr>
      </w:pPr>
      <w:r>
        <w:rPr>
          <w:rFonts w:hint="eastAsia" w:ascii="仿宋" w:hAnsi="仿宋" w:eastAsia="仿宋" w:cs="仿宋"/>
          <w:color w:val="auto"/>
          <w:sz w:val="21"/>
        </w:rPr>
        <w:t>1.3乙方提供的设备必须是全新、规范、先进的高质量可靠产品，能够确保连续稳定</w:t>
      </w:r>
      <w:r>
        <w:rPr>
          <w:rFonts w:hint="eastAsia" w:ascii="仿宋" w:hAnsi="仿宋" w:eastAsia="仿宋" w:cs="仿宋"/>
          <w:color w:val="auto"/>
          <w:sz w:val="21"/>
          <w:lang w:eastAsia="zh-CN"/>
        </w:rPr>
        <w:t>地</w:t>
      </w:r>
      <w:r>
        <w:rPr>
          <w:rFonts w:hint="eastAsia" w:ascii="仿宋" w:hAnsi="仿宋" w:eastAsia="仿宋" w:cs="仿宋"/>
          <w:color w:val="auto"/>
          <w:sz w:val="21"/>
        </w:rPr>
        <w:t>工作；</w:t>
      </w:r>
    </w:p>
    <w:p w14:paraId="24E7B7BF">
      <w:pPr>
        <w:tabs>
          <w:tab w:val="left" w:pos="540"/>
          <w:tab w:val="left" w:pos="720"/>
          <w:tab w:val="left" w:pos="1080"/>
        </w:tabs>
        <w:adjustRightInd/>
        <w:spacing w:line="360" w:lineRule="auto"/>
        <w:ind w:firstLine="420" w:firstLineChars="200"/>
        <w:jc w:val="both"/>
        <w:textAlignment w:val="auto"/>
        <w:rPr>
          <w:rFonts w:hint="eastAsia" w:ascii="仿宋" w:hAnsi="仿宋" w:eastAsia="仿宋" w:cs="仿宋"/>
          <w:color w:val="auto"/>
          <w:sz w:val="21"/>
        </w:rPr>
      </w:pPr>
      <w:r>
        <w:rPr>
          <w:rFonts w:hint="eastAsia" w:ascii="仿宋" w:hAnsi="仿宋" w:eastAsia="仿宋" w:cs="仿宋"/>
          <w:color w:val="auto"/>
          <w:sz w:val="21"/>
        </w:rPr>
        <w:t>1.4乙方提供货物的制造，材料的选择，都应按照国内外通用的现行标准和相应的技术规范执行，而这些标准和技术规范应为合同签字日为止最新公布</w:t>
      </w:r>
      <w:r>
        <w:rPr>
          <w:rFonts w:hint="eastAsia" w:ascii="仿宋" w:hAnsi="仿宋" w:eastAsia="仿宋" w:cs="仿宋"/>
          <w:color w:val="auto"/>
          <w:sz w:val="21"/>
          <w:lang w:eastAsia="zh-CN"/>
        </w:rPr>
        <w:t>发文</w:t>
      </w:r>
      <w:r>
        <w:rPr>
          <w:rFonts w:hint="eastAsia" w:ascii="仿宋" w:hAnsi="仿宋" w:eastAsia="仿宋" w:cs="仿宋"/>
          <w:color w:val="auto"/>
          <w:sz w:val="21"/>
        </w:rPr>
        <w:t>的标准和技术规范；</w:t>
      </w:r>
    </w:p>
    <w:p w14:paraId="355F4668">
      <w:pPr>
        <w:tabs>
          <w:tab w:val="left" w:pos="540"/>
          <w:tab w:val="left" w:pos="720"/>
          <w:tab w:val="left" w:pos="1080"/>
        </w:tabs>
        <w:adjustRightInd/>
        <w:spacing w:line="360" w:lineRule="auto"/>
        <w:ind w:firstLine="420" w:firstLineChars="200"/>
        <w:jc w:val="left"/>
        <w:textAlignment w:val="auto"/>
        <w:rPr>
          <w:rFonts w:hint="eastAsia" w:ascii="仿宋" w:hAnsi="仿宋" w:eastAsia="仿宋" w:cs="仿宋"/>
          <w:color w:val="auto"/>
          <w:sz w:val="21"/>
        </w:rPr>
      </w:pPr>
      <w:r>
        <w:rPr>
          <w:rFonts w:hint="eastAsia" w:ascii="仿宋" w:hAnsi="仿宋" w:eastAsia="仿宋" w:cs="仿宋"/>
          <w:color w:val="auto"/>
          <w:sz w:val="21"/>
        </w:rPr>
        <w:t>1.5乙方须对采购技术协议的完整性、合理性、技术研发和设计制造质量承担全部责任。保证其达到正常使用要求和</w:t>
      </w:r>
      <w:r>
        <w:rPr>
          <w:rFonts w:hint="eastAsia" w:ascii="仿宋" w:hAnsi="仿宋" w:eastAsia="仿宋" w:cs="仿宋"/>
          <w:color w:val="auto"/>
          <w:sz w:val="21"/>
          <w:lang w:val="en-US" w:eastAsia="zh-CN"/>
        </w:rPr>
        <w:t>混合机</w:t>
      </w:r>
      <w:r>
        <w:rPr>
          <w:rFonts w:hint="eastAsia" w:ascii="仿宋" w:hAnsi="仿宋" w:eastAsia="仿宋" w:cs="仿宋"/>
          <w:color w:val="auto"/>
          <w:sz w:val="21"/>
        </w:rPr>
        <w:t>生产工艺要求与指标；</w:t>
      </w:r>
    </w:p>
    <w:p w14:paraId="319779D1">
      <w:pPr>
        <w:tabs>
          <w:tab w:val="left" w:pos="540"/>
          <w:tab w:val="left" w:pos="720"/>
        </w:tabs>
        <w:adjustRightInd/>
        <w:spacing w:line="360" w:lineRule="auto"/>
        <w:ind w:firstLine="420" w:firstLineChars="200"/>
        <w:jc w:val="both"/>
        <w:textAlignment w:val="auto"/>
        <w:rPr>
          <w:rFonts w:hint="eastAsia" w:ascii="仿宋" w:hAnsi="仿宋" w:eastAsia="仿宋" w:cs="仿宋"/>
          <w:color w:val="auto"/>
          <w:sz w:val="21"/>
          <w:lang w:eastAsia="zh-CN"/>
        </w:rPr>
      </w:pPr>
      <w:r>
        <w:rPr>
          <w:rFonts w:hint="eastAsia" w:ascii="仿宋" w:hAnsi="仿宋" w:eastAsia="仿宋" w:cs="仿宋"/>
          <w:color w:val="auto"/>
          <w:sz w:val="21"/>
        </w:rPr>
        <w:t>1.6乙方在合同货物制造中，发生侵犯专利的行为时其侵权责任与甲方无关</w:t>
      </w:r>
      <w:r>
        <w:rPr>
          <w:rFonts w:hint="eastAsia" w:ascii="仿宋" w:hAnsi="仿宋" w:eastAsia="仿宋" w:cs="仿宋"/>
          <w:color w:val="auto"/>
          <w:sz w:val="21"/>
          <w:lang w:eastAsia="zh-CN"/>
        </w:rPr>
        <w:t>；</w:t>
      </w:r>
    </w:p>
    <w:p w14:paraId="5468CACD">
      <w:pPr>
        <w:tabs>
          <w:tab w:val="left" w:pos="540"/>
          <w:tab w:val="left" w:pos="720"/>
        </w:tabs>
        <w:adjustRightInd/>
        <w:spacing w:line="360" w:lineRule="auto"/>
        <w:ind w:firstLine="420" w:firstLineChars="200"/>
        <w:jc w:val="both"/>
        <w:textAlignment w:val="auto"/>
        <w:rPr>
          <w:rFonts w:hint="eastAsia" w:ascii="仿宋" w:hAnsi="仿宋" w:eastAsia="仿宋" w:cs="仿宋"/>
          <w:b/>
          <w:color w:val="auto"/>
          <w:sz w:val="21"/>
          <w:szCs w:val="21"/>
        </w:rPr>
      </w:pPr>
      <w:r>
        <w:rPr>
          <w:rFonts w:hint="eastAsia" w:ascii="仿宋" w:hAnsi="仿宋" w:eastAsia="仿宋" w:cs="仿宋"/>
          <w:color w:val="auto"/>
          <w:sz w:val="21"/>
        </w:rPr>
        <w:t>1.7乙方在招标前，应与甲方技术人员进行技术交流，呈报同行业、同产品业绩及用户报告。</w:t>
      </w:r>
      <w:r>
        <w:rPr>
          <w:rFonts w:hint="eastAsia" w:ascii="仿宋" w:hAnsi="仿宋" w:eastAsia="仿宋" w:cs="仿宋"/>
          <w:color w:val="auto"/>
          <w:sz w:val="21"/>
          <w:lang w:val="en-US" w:eastAsia="zh-CN"/>
        </w:rPr>
        <w:t>乙方在投标前，必须与甲方充分技术交流后并签订标前技术协议，方可参标。</w:t>
      </w:r>
    </w:p>
    <w:p w14:paraId="6DAA9CD7">
      <w:pPr>
        <w:keepNext w:val="0"/>
        <w:keepLines w:val="0"/>
        <w:widowControl/>
        <w:suppressLineNumbers w:val="0"/>
        <w:jc w:val="left"/>
        <w:rPr>
          <w:rFonts w:hint="eastAsia" w:ascii="仿宋" w:hAnsi="仿宋" w:eastAsia="仿宋" w:cs="仿宋"/>
          <w:b/>
          <w:color w:val="auto"/>
          <w:sz w:val="21"/>
          <w:szCs w:val="21"/>
        </w:rPr>
      </w:pPr>
      <w:r>
        <w:rPr>
          <w:rFonts w:hint="eastAsia" w:ascii="仿宋" w:hAnsi="仿宋" w:eastAsia="仿宋" w:cs="仿宋"/>
          <w:b/>
          <w:color w:val="auto"/>
          <w:sz w:val="21"/>
          <w:szCs w:val="21"/>
        </w:rPr>
        <w:t>附件</w:t>
      </w:r>
      <w:r>
        <w:rPr>
          <w:rFonts w:hint="eastAsia" w:ascii="仿宋" w:hAnsi="仿宋" w:eastAsia="仿宋" w:cs="仿宋"/>
          <w:b/>
          <w:color w:val="auto"/>
          <w:sz w:val="21"/>
          <w:szCs w:val="21"/>
          <w:lang w:val="en-US" w:eastAsia="zh-CN"/>
        </w:rPr>
        <w:t>二</w:t>
      </w:r>
      <w:r>
        <w:rPr>
          <w:rFonts w:hint="eastAsia" w:ascii="仿宋" w:hAnsi="仿宋" w:eastAsia="仿宋" w:cs="仿宋"/>
          <w:b/>
          <w:color w:val="auto"/>
          <w:sz w:val="21"/>
          <w:szCs w:val="21"/>
        </w:rPr>
        <w:t xml:space="preserve"> 制造要求</w:t>
      </w:r>
    </w:p>
    <w:p w14:paraId="7BDCEFBF">
      <w:pPr>
        <w:keepNext w:val="0"/>
        <w:keepLines w:val="0"/>
        <w:widowControl/>
        <w:suppressLineNumbers w:val="0"/>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rPr>
        <w:t>本次采购的骨架油封用于 SEW 减速机的轴端密封，其作用是可靠地防止润滑油泄漏、阻止外部杂质侵入，并重点避免油封唇口对旋转轴造成异常磨损。本技术规格书的所有技术要求均以</w:t>
      </w:r>
      <w:r>
        <w:rPr>
          <w:rFonts w:hint="eastAsia" w:ascii="仿宋" w:hAnsi="仿宋" w:eastAsia="仿宋" w:cs="仿宋"/>
          <w:sz w:val="21"/>
          <w:szCs w:val="21"/>
          <w:lang w:val="en-US" w:eastAsia="zh-CN"/>
        </w:rPr>
        <w:t>CFW</w:t>
      </w:r>
      <w:r>
        <w:rPr>
          <w:rFonts w:hint="eastAsia" w:ascii="仿宋" w:hAnsi="仿宋" w:eastAsia="仿宋" w:cs="仿宋"/>
          <w:sz w:val="21"/>
          <w:szCs w:val="21"/>
        </w:rPr>
        <w:t xml:space="preserve"> 品牌为依据</w:t>
      </w:r>
      <w:r>
        <w:rPr>
          <w:rFonts w:hint="eastAsia" w:ascii="仿宋" w:hAnsi="仿宋" w:eastAsia="仿宋" w:cs="仿宋"/>
          <w:sz w:val="21"/>
          <w:szCs w:val="21"/>
          <w:lang w:eastAsia="zh-CN"/>
        </w:rPr>
        <w:t>。</w:t>
      </w:r>
    </w:p>
    <w:p w14:paraId="7147C1F1">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1.1适用范围</w:t>
      </w:r>
    </w:p>
    <w:p w14:paraId="61428A30">
      <w:pPr>
        <w:keepNext w:val="0"/>
        <w:keepLines w:val="0"/>
        <w:widowControl/>
        <w:suppressLineNumbers w:val="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本规格书适用于本次采购的以下规格的骨架油封：</w:t>
      </w:r>
    </w:p>
    <w:p w14:paraId="2D8AA71A">
      <w:pPr>
        <w:keepNext w:val="0"/>
        <w:keepLines w:val="0"/>
        <w:widowControl/>
        <w:suppressLineNumbers w:val="0"/>
        <w:jc w:val="left"/>
        <w:rPr>
          <w:rFonts w:hint="eastAsia" w:ascii="仿宋" w:hAnsi="仿宋" w:eastAsia="仿宋" w:cs="仿宋"/>
          <w:kern w:val="0"/>
          <w:sz w:val="21"/>
          <w:szCs w:val="21"/>
          <w:lang w:val="en-US" w:eastAsia="zh-CN"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793"/>
        <w:gridCol w:w="2548"/>
        <w:gridCol w:w="857"/>
        <w:gridCol w:w="2615"/>
      </w:tblGrid>
      <w:tr w14:paraId="3CC6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top"/>
          </w:tcPr>
          <w:p w14:paraId="4BF6B061">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lang w:val="en-US" w:eastAsia="zh-CN" w:bidi="ar"/>
              </w:rPr>
              <w:t>序号</w:t>
            </w:r>
          </w:p>
        </w:tc>
        <w:tc>
          <w:tcPr>
            <w:tcW w:w="1793" w:type="dxa"/>
            <w:noWrap w:val="0"/>
            <w:vAlign w:val="top"/>
          </w:tcPr>
          <w:p w14:paraId="4A977316">
            <w:pPr>
              <w:keepNext w:val="0"/>
              <w:keepLines w:val="0"/>
              <w:widowControl/>
              <w:suppressLineNumbers w:val="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物料编码</w:t>
            </w:r>
          </w:p>
        </w:tc>
        <w:tc>
          <w:tcPr>
            <w:tcW w:w="2548" w:type="dxa"/>
            <w:noWrap w:val="0"/>
            <w:vAlign w:val="top"/>
          </w:tcPr>
          <w:p w14:paraId="5F86E04C">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lang w:val="en-US" w:eastAsia="zh-CN" w:bidi="ar"/>
              </w:rPr>
              <w:t xml:space="preserve">规格型号 </w:t>
            </w:r>
          </w:p>
        </w:tc>
        <w:tc>
          <w:tcPr>
            <w:tcW w:w="857" w:type="dxa"/>
            <w:noWrap w:val="0"/>
            <w:vAlign w:val="top"/>
          </w:tcPr>
          <w:p w14:paraId="61DD0EC2">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lang w:val="en-US" w:eastAsia="zh-CN" w:bidi="ar"/>
              </w:rPr>
              <w:t xml:space="preserve"> 数量</w:t>
            </w:r>
          </w:p>
        </w:tc>
        <w:tc>
          <w:tcPr>
            <w:tcW w:w="2615" w:type="dxa"/>
            <w:noWrap w:val="0"/>
            <w:vAlign w:val="top"/>
          </w:tcPr>
          <w:p w14:paraId="5BCE4B15">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lang w:val="en-US" w:eastAsia="zh-CN" w:bidi="ar"/>
              </w:rPr>
              <w:t xml:space="preserve"> 对应SEW减速机型号</w:t>
            </w:r>
          </w:p>
        </w:tc>
      </w:tr>
      <w:tr w14:paraId="65F9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6" w:type="dxa"/>
            <w:noWrap w:val="0"/>
            <w:vAlign w:val="top"/>
          </w:tcPr>
          <w:p w14:paraId="265EDBCA">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1</w:t>
            </w:r>
          </w:p>
        </w:tc>
        <w:tc>
          <w:tcPr>
            <w:tcW w:w="1793" w:type="dxa"/>
            <w:noWrap w:val="0"/>
            <w:vAlign w:val="top"/>
          </w:tcPr>
          <w:p w14:paraId="31775DBC">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70457454</w:t>
            </w:r>
          </w:p>
        </w:tc>
        <w:tc>
          <w:tcPr>
            <w:tcW w:w="2548" w:type="dxa"/>
            <w:noWrap w:val="0"/>
            <w:vAlign w:val="top"/>
          </w:tcPr>
          <w:p w14:paraId="7F374C98">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骨架油封\Φ150×170×12 NBR WA</w:t>
            </w:r>
          </w:p>
        </w:tc>
        <w:tc>
          <w:tcPr>
            <w:tcW w:w="857" w:type="dxa"/>
            <w:noWrap w:val="0"/>
            <w:vAlign w:val="top"/>
          </w:tcPr>
          <w:p w14:paraId="56DC114E">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3</w:t>
            </w:r>
          </w:p>
        </w:tc>
        <w:tc>
          <w:tcPr>
            <w:tcW w:w="2615" w:type="dxa"/>
            <w:noWrap w:val="0"/>
            <w:vAlign w:val="top"/>
          </w:tcPr>
          <w:p w14:paraId="5F505FCD">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X2FS260e/HH/B</w:t>
            </w:r>
          </w:p>
        </w:tc>
      </w:tr>
      <w:tr w14:paraId="7815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top"/>
          </w:tcPr>
          <w:p w14:paraId="238D6644">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2</w:t>
            </w:r>
          </w:p>
        </w:tc>
        <w:tc>
          <w:tcPr>
            <w:tcW w:w="1793" w:type="dxa"/>
            <w:noWrap w:val="0"/>
            <w:vAlign w:val="top"/>
          </w:tcPr>
          <w:p w14:paraId="3A08B08D">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70457453</w:t>
            </w:r>
          </w:p>
        </w:tc>
        <w:tc>
          <w:tcPr>
            <w:tcW w:w="2548" w:type="dxa"/>
            <w:noWrap w:val="0"/>
            <w:vAlign w:val="top"/>
          </w:tcPr>
          <w:p w14:paraId="36E06A4F">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骨架油封\Φ300×340×16 NBR WA</w:t>
            </w:r>
          </w:p>
        </w:tc>
        <w:tc>
          <w:tcPr>
            <w:tcW w:w="857" w:type="dxa"/>
            <w:noWrap w:val="0"/>
            <w:vAlign w:val="top"/>
          </w:tcPr>
          <w:p w14:paraId="4FE56892">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2</w:t>
            </w:r>
          </w:p>
        </w:tc>
        <w:tc>
          <w:tcPr>
            <w:tcW w:w="2615" w:type="dxa"/>
            <w:noWrap w:val="0"/>
            <w:vAlign w:val="top"/>
          </w:tcPr>
          <w:p w14:paraId="05B5EDD4">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X2FS260e/HH/B</w:t>
            </w:r>
          </w:p>
        </w:tc>
      </w:tr>
      <w:tr w14:paraId="7453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6" w:type="dxa"/>
            <w:noWrap w:val="0"/>
            <w:vAlign w:val="top"/>
          </w:tcPr>
          <w:p w14:paraId="250B642F">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3</w:t>
            </w:r>
          </w:p>
        </w:tc>
        <w:tc>
          <w:tcPr>
            <w:tcW w:w="1793" w:type="dxa"/>
            <w:noWrap w:val="0"/>
            <w:vAlign w:val="top"/>
          </w:tcPr>
          <w:p w14:paraId="5BDF5C7B">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70457458</w:t>
            </w:r>
          </w:p>
        </w:tc>
        <w:tc>
          <w:tcPr>
            <w:tcW w:w="2548" w:type="dxa"/>
            <w:noWrap w:val="0"/>
            <w:vAlign w:val="top"/>
          </w:tcPr>
          <w:p w14:paraId="4CDEEE7A">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骨架油封\Φ180×215×15 NBR WA</w:t>
            </w:r>
          </w:p>
        </w:tc>
        <w:tc>
          <w:tcPr>
            <w:tcW w:w="857" w:type="dxa"/>
            <w:noWrap w:val="0"/>
            <w:vAlign w:val="top"/>
          </w:tcPr>
          <w:p w14:paraId="47F2E7FC">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6</w:t>
            </w:r>
          </w:p>
        </w:tc>
        <w:tc>
          <w:tcPr>
            <w:tcW w:w="2615" w:type="dxa"/>
            <w:noWrap w:val="0"/>
            <w:vAlign w:val="top"/>
          </w:tcPr>
          <w:p w14:paraId="4CD86C2C">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X2FS300e/HH/B</w:t>
            </w:r>
          </w:p>
        </w:tc>
      </w:tr>
      <w:tr w14:paraId="31F5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6" w:type="dxa"/>
            <w:noWrap w:val="0"/>
            <w:vAlign w:val="top"/>
          </w:tcPr>
          <w:p w14:paraId="1B8E7E91">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4</w:t>
            </w:r>
          </w:p>
        </w:tc>
        <w:tc>
          <w:tcPr>
            <w:tcW w:w="1793" w:type="dxa"/>
            <w:noWrap w:val="0"/>
            <w:vAlign w:val="top"/>
          </w:tcPr>
          <w:p w14:paraId="47518BB1">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70053782</w:t>
            </w:r>
          </w:p>
        </w:tc>
        <w:tc>
          <w:tcPr>
            <w:tcW w:w="2548" w:type="dxa"/>
            <w:noWrap w:val="0"/>
            <w:vAlign w:val="top"/>
          </w:tcPr>
          <w:p w14:paraId="107797F8">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骨架油封\Φ360×400×20 NBR A</w:t>
            </w:r>
          </w:p>
        </w:tc>
        <w:tc>
          <w:tcPr>
            <w:tcW w:w="857" w:type="dxa"/>
            <w:noWrap w:val="0"/>
            <w:vAlign w:val="top"/>
          </w:tcPr>
          <w:p w14:paraId="036C333E">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2</w:t>
            </w:r>
          </w:p>
        </w:tc>
        <w:tc>
          <w:tcPr>
            <w:tcW w:w="2615" w:type="dxa"/>
            <w:noWrap w:val="0"/>
            <w:vAlign w:val="top"/>
          </w:tcPr>
          <w:p w14:paraId="635760C1">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X2FS300e/HH/B</w:t>
            </w:r>
          </w:p>
        </w:tc>
      </w:tr>
      <w:tr w14:paraId="0960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6" w:type="dxa"/>
            <w:noWrap w:val="0"/>
            <w:vAlign w:val="top"/>
          </w:tcPr>
          <w:p w14:paraId="563A1B20">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5</w:t>
            </w:r>
          </w:p>
        </w:tc>
        <w:tc>
          <w:tcPr>
            <w:tcW w:w="1793" w:type="dxa"/>
            <w:noWrap w:val="0"/>
            <w:vAlign w:val="top"/>
          </w:tcPr>
          <w:p w14:paraId="76CA197A">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70457732</w:t>
            </w:r>
          </w:p>
        </w:tc>
        <w:tc>
          <w:tcPr>
            <w:tcW w:w="2548" w:type="dxa"/>
            <w:noWrap w:val="0"/>
            <w:vAlign w:val="top"/>
          </w:tcPr>
          <w:p w14:paraId="308B843A">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骨架油封\Φ380×420×20 NBR A</w:t>
            </w:r>
          </w:p>
        </w:tc>
        <w:tc>
          <w:tcPr>
            <w:tcW w:w="857" w:type="dxa"/>
            <w:noWrap w:val="0"/>
            <w:vAlign w:val="top"/>
          </w:tcPr>
          <w:p w14:paraId="4E6399A7">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2</w:t>
            </w:r>
          </w:p>
        </w:tc>
        <w:tc>
          <w:tcPr>
            <w:tcW w:w="2615" w:type="dxa"/>
            <w:noWrap w:val="0"/>
            <w:vAlign w:val="top"/>
          </w:tcPr>
          <w:p w14:paraId="69F43473">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ML3PSF2140</w:t>
            </w:r>
          </w:p>
        </w:tc>
      </w:tr>
      <w:tr w14:paraId="047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top"/>
          </w:tcPr>
          <w:p w14:paraId="6CF89EB6">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6</w:t>
            </w:r>
          </w:p>
        </w:tc>
        <w:tc>
          <w:tcPr>
            <w:tcW w:w="1793" w:type="dxa"/>
            <w:noWrap w:val="0"/>
            <w:vAlign w:val="top"/>
          </w:tcPr>
          <w:p w14:paraId="3D7F2C27">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70053783</w:t>
            </w:r>
          </w:p>
        </w:tc>
        <w:tc>
          <w:tcPr>
            <w:tcW w:w="2548" w:type="dxa"/>
            <w:noWrap w:val="0"/>
            <w:vAlign w:val="top"/>
          </w:tcPr>
          <w:p w14:paraId="62E000CE">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骨架油封\Φ160×190×15 NBR A</w:t>
            </w:r>
          </w:p>
        </w:tc>
        <w:tc>
          <w:tcPr>
            <w:tcW w:w="857" w:type="dxa"/>
            <w:noWrap w:val="0"/>
            <w:vAlign w:val="top"/>
          </w:tcPr>
          <w:p w14:paraId="34FAF730">
            <w:pPr>
              <w:keepNext w:val="0"/>
              <w:keepLines w:val="0"/>
              <w:widowControl/>
              <w:suppressLineNumbers w:val="0"/>
              <w:jc w:val="center"/>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6</w:t>
            </w:r>
          </w:p>
        </w:tc>
        <w:tc>
          <w:tcPr>
            <w:tcW w:w="2615" w:type="dxa"/>
            <w:noWrap w:val="0"/>
            <w:vAlign w:val="top"/>
          </w:tcPr>
          <w:p w14:paraId="0B07BD10">
            <w:pPr>
              <w:keepNext w:val="0"/>
              <w:keepLines w:val="0"/>
              <w:widowControl/>
              <w:suppressLineNumbers w:val="0"/>
              <w:jc w:val="left"/>
              <w:rPr>
                <w:rFonts w:hint="eastAsia" w:ascii="仿宋" w:hAnsi="仿宋" w:eastAsia="仿宋" w:cs="仿宋"/>
                <w:kern w:val="0"/>
                <w:sz w:val="21"/>
                <w:szCs w:val="21"/>
                <w:vertAlign w:val="baseline"/>
                <w:lang w:val="en-US" w:eastAsia="zh-CN" w:bidi="ar"/>
              </w:rPr>
            </w:pPr>
            <w:r>
              <w:rPr>
                <w:rFonts w:hint="eastAsia" w:ascii="仿宋" w:hAnsi="仿宋" w:eastAsia="仿宋" w:cs="仿宋"/>
                <w:kern w:val="0"/>
                <w:sz w:val="21"/>
                <w:szCs w:val="21"/>
                <w:vertAlign w:val="baseline"/>
                <w:lang w:val="en-US" w:eastAsia="zh-CN" w:bidi="ar"/>
              </w:rPr>
              <w:t>ML3PSF2140</w:t>
            </w:r>
          </w:p>
        </w:tc>
      </w:tr>
    </w:tbl>
    <w:p w14:paraId="5CBD0D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20" w:firstLineChars="200"/>
        <w:jc w:val="left"/>
        <w:rPr>
          <w:rFonts w:hint="eastAsia" w:ascii="仿宋" w:hAnsi="仿宋" w:eastAsia="仿宋" w:cs="仿宋"/>
          <w:kern w:val="0"/>
          <w:sz w:val="21"/>
          <w:szCs w:val="21"/>
          <w:lang w:val="en-US" w:eastAsia="zh-CN" w:bidi="ar"/>
        </w:rPr>
      </w:pPr>
      <w:r>
        <w:rPr>
          <w:rFonts w:hint="eastAsia" w:ascii="仿宋" w:hAnsi="仿宋" w:eastAsia="仿宋" w:cs="仿宋"/>
          <w:color w:val="000000"/>
          <w:sz w:val="21"/>
          <w:szCs w:val="21"/>
          <w:lang w:val="en-US" w:eastAsia="zh-CN"/>
        </w:rPr>
        <w:t>注：所选骨架油封必须适用于上表</w:t>
      </w:r>
      <w:r>
        <w:rPr>
          <w:rFonts w:hint="eastAsia" w:ascii="仿宋" w:hAnsi="仿宋" w:eastAsia="仿宋" w:cs="仿宋"/>
          <w:kern w:val="0"/>
          <w:sz w:val="21"/>
          <w:szCs w:val="21"/>
          <w:lang w:val="en-US" w:eastAsia="zh-CN" w:bidi="ar"/>
        </w:rPr>
        <w:t>对应SEW减速机，与在线减速机使用的骨架油封型号及性能等相同。</w:t>
      </w:r>
    </w:p>
    <w:p w14:paraId="3CE72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1.2执行标准</w:t>
      </w:r>
    </w:p>
    <w:p w14:paraId="0024E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本采购技术规格书的核心执行标准为CFW品牌旋转轴唇形密封圈标准，同时参考以下配套CFW品牌及行业标准：</w:t>
      </w:r>
    </w:p>
    <w:p w14:paraId="1344AFB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CFW</w:t>
      </w:r>
      <w:r>
        <w:rPr>
          <w:rFonts w:hint="eastAsia" w:ascii="仿宋" w:hAnsi="仿宋" w:eastAsia="仿宋" w:cs="仿宋"/>
          <w:color w:val="000000"/>
          <w:sz w:val="21"/>
          <w:szCs w:val="21"/>
        </w:rPr>
        <w:t>品牌旋转轴唇形密封圈标准：尺寸、要求、试验（核心标准）</w:t>
      </w:r>
    </w:p>
    <w:p w14:paraId="75E9F44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CFW</w:t>
      </w:r>
      <w:r>
        <w:rPr>
          <w:rFonts w:hint="eastAsia" w:ascii="仿宋" w:hAnsi="仿宋" w:eastAsia="仿宋" w:cs="仿宋"/>
          <w:color w:val="000000"/>
          <w:sz w:val="21"/>
          <w:szCs w:val="21"/>
        </w:rPr>
        <w:t>品牌旋转轴唇形密封圈标准：贮存、搬运、安装</w:t>
      </w:r>
    </w:p>
    <w:p w14:paraId="0311967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CFW</w:t>
      </w:r>
      <w:r>
        <w:rPr>
          <w:rFonts w:hint="eastAsia" w:ascii="仿宋" w:hAnsi="仿宋" w:eastAsia="仿宋" w:cs="仿宋"/>
          <w:color w:val="000000"/>
          <w:sz w:val="21"/>
          <w:szCs w:val="21"/>
        </w:rPr>
        <w:t>品牌密封圈外观质量与试验方法标准</w:t>
      </w:r>
    </w:p>
    <w:p w14:paraId="69B50F0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CFW</w:t>
      </w:r>
      <w:r>
        <w:rPr>
          <w:rFonts w:hint="eastAsia" w:ascii="仿宋" w:hAnsi="仿宋" w:eastAsia="仿宋" w:cs="仿宋"/>
          <w:color w:val="000000"/>
          <w:sz w:val="21"/>
          <w:szCs w:val="21"/>
        </w:rPr>
        <w:t>品牌弹性体密封材料的性能要求标准（如适用）</w:t>
      </w:r>
    </w:p>
    <w:p w14:paraId="608DB6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所有油封的设计、制造、尺寸公差、材料、外观、试验方法及包装贮存均需满足 CFW品牌现行有效版本的要求。</w:t>
      </w:r>
    </w:p>
    <w:p w14:paraId="20400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材料要求</w:t>
      </w:r>
    </w:p>
    <w:p w14:paraId="33637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1.</w:t>
      </w:r>
      <w:r>
        <w:rPr>
          <w:rFonts w:hint="eastAsia" w:ascii="仿宋" w:hAnsi="仿宋" w:eastAsia="仿宋" w:cs="仿宋"/>
          <w:b w:val="0"/>
          <w:bCs w:val="0"/>
          <w:color w:val="000000"/>
          <w:sz w:val="21"/>
          <w:szCs w:val="21"/>
          <w:lang w:val="en-US" w:eastAsia="zh-CN"/>
        </w:rPr>
        <w:t>3</w:t>
      </w:r>
      <w:r>
        <w:rPr>
          <w:rFonts w:hint="eastAsia" w:ascii="仿宋" w:hAnsi="仿宋" w:eastAsia="仿宋" w:cs="仿宋"/>
          <w:b w:val="0"/>
          <w:bCs w:val="0"/>
          <w:color w:val="000000"/>
          <w:sz w:val="21"/>
          <w:szCs w:val="21"/>
        </w:rPr>
        <w:t>.1 橡胶密封材料</w:t>
      </w:r>
    </w:p>
    <w:p w14:paraId="1B970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根据 CFW品牌对弹性体材料的要求，并结合 SEW 减速机典型运行工况，提供以下材料选项（由采购方确认）：</w:t>
      </w:r>
    </w:p>
    <w:tbl>
      <w:tblPr>
        <w:tblStyle w:val="11"/>
        <w:tblW w:w="8383" w:type="dxa"/>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32"/>
        <w:gridCol w:w="656"/>
        <w:gridCol w:w="1521"/>
        <w:gridCol w:w="3474"/>
      </w:tblGrid>
      <w:tr w14:paraId="54BD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2687" w:type="dxa"/>
            <w:tcBorders>
              <w:top w:val="single" w:color="auto" w:sz="4" w:space="0"/>
              <w:left w:val="single" w:color="auto" w:sz="4" w:space="0"/>
              <w:bottom w:val="single" w:color="auto" w:sz="4" w:space="0"/>
              <w:right w:val="single" w:color="auto" w:sz="4" w:space="0"/>
            </w:tcBorders>
            <w:noWrap w:val="0"/>
            <w:vAlign w:val="center"/>
          </w:tcPr>
          <w:p w14:paraId="533D3458">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材料代号（CFW / 行业）</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0DE2C2D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材料类型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FC23049">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适用温度范围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322B26">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特点及推荐工况</w:t>
            </w:r>
          </w:p>
        </w:tc>
      </w:tr>
      <w:tr w14:paraId="135D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687" w:type="dxa"/>
            <w:tcBorders>
              <w:top w:val="single" w:color="auto" w:sz="4" w:space="0"/>
              <w:left w:val="single" w:color="auto" w:sz="4" w:space="0"/>
              <w:bottom w:val="single" w:color="auto" w:sz="4" w:space="0"/>
              <w:right w:val="single" w:color="auto" w:sz="4" w:space="0"/>
            </w:tcBorders>
            <w:noWrap w:val="0"/>
            <w:vAlign w:val="center"/>
          </w:tcPr>
          <w:p w14:paraId="3D3090D7">
            <w:pPr>
              <w:keepNext w:val="0"/>
              <w:keepLines w:val="0"/>
              <w:widowControl/>
              <w:suppressLineNumbers w:val="0"/>
              <w:spacing w:before="0" w:beforeAutospacing="0" w:after="0" w:afterAutospacing="0" w:line="360" w:lineRule="atLeast"/>
              <w:ind w:left="0" w:right="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NBR</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7DFE17D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丁腈橡胶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25F54A">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 ～ +100℃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9EBDB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标准选择，耐矿物油、耐燃油，经济性高</w:t>
            </w:r>
          </w:p>
        </w:tc>
      </w:tr>
      <w:tr w14:paraId="396F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687" w:type="dxa"/>
            <w:tcBorders>
              <w:top w:val="single" w:color="auto" w:sz="4" w:space="0"/>
              <w:left w:val="single" w:color="auto" w:sz="4" w:space="0"/>
              <w:bottom w:val="single" w:color="auto" w:sz="4" w:space="0"/>
              <w:right w:val="single" w:color="auto" w:sz="4" w:space="0"/>
            </w:tcBorders>
            <w:noWrap w:val="0"/>
            <w:vAlign w:val="center"/>
          </w:tcPr>
          <w:p w14:paraId="0C9849D5">
            <w:pPr>
              <w:keepNext w:val="0"/>
              <w:keepLines w:val="0"/>
              <w:widowControl/>
              <w:suppressLineNumbers w:val="0"/>
              <w:spacing w:before="0" w:beforeAutospacing="0" w:after="0" w:afterAutospacing="0" w:line="360" w:lineRule="atLeast"/>
              <w:ind w:left="0" w:right="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FKM</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157D97EF">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氟橡胶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03DC7D">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 ～ +200℃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F55077">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高温、耐腐蚀介质，高速工况</w:t>
            </w:r>
          </w:p>
        </w:tc>
      </w:tr>
      <w:tr w14:paraId="3E6A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687" w:type="dxa"/>
            <w:tcBorders>
              <w:top w:val="single" w:color="auto" w:sz="4" w:space="0"/>
              <w:left w:val="single" w:color="auto" w:sz="4" w:space="0"/>
              <w:bottom w:val="single" w:color="auto" w:sz="4" w:space="0"/>
              <w:right w:val="single" w:color="auto" w:sz="4" w:space="0"/>
            </w:tcBorders>
            <w:noWrap w:val="0"/>
            <w:vAlign w:val="center"/>
          </w:tcPr>
          <w:p w14:paraId="079C39B0">
            <w:pPr>
              <w:keepNext w:val="0"/>
              <w:keepLines w:val="0"/>
              <w:widowControl/>
              <w:suppressLineNumbers w:val="0"/>
              <w:spacing w:before="0" w:beforeAutospacing="0" w:after="0" w:afterAutospacing="0" w:line="360" w:lineRule="atLeast"/>
              <w:ind w:left="0" w:right="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HNBR</w:t>
            </w:r>
          </w:p>
        </w:tc>
        <w:tc>
          <w:tcPr>
            <w:tcW w:w="626" w:type="dxa"/>
            <w:tcBorders>
              <w:top w:val="single" w:color="auto" w:sz="4" w:space="0"/>
              <w:left w:val="single" w:color="auto" w:sz="4" w:space="0"/>
              <w:bottom w:val="single" w:color="auto" w:sz="4" w:space="0"/>
              <w:right w:val="single" w:color="auto" w:sz="4" w:space="0"/>
            </w:tcBorders>
            <w:noWrap w:val="0"/>
            <w:vAlign w:val="center"/>
          </w:tcPr>
          <w:p w14:paraId="703A5760">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氢化丁腈橡胶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EF56B4">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 ～ +150℃</w:t>
            </w:r>
          </w:p>
        </w:tc>
        <w:tc>
          <w:tcPr>
            <w:tcW w:w="0" w:type="auto"/>
            <w:tcBorders>
              <w:top w:val="single" w:color="auto" w:sz="4" w:space="0"/>
              <w:left w:val="single" w:color="auto" w:sz="4" w:space="0"/>
              <w:bottom w:val="single" w:color="auto" w:sz="4" w:space="0"/>
            </w:tcBorders>
            <w:noWrap w:val="0"/>
            <w:vAlign w:val="center"/>
          </w:tcPr>
          <w:p w14:paraId="1E1D813C">
            <w:pPr>
              <w:keepNext w:val="0"/>
              <w:keepLines w:val="0"/>
              <w:widowControl/>
              <w:suppressLineNumbers w:val="0"/>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高耐磨、高耐热，延长寿命</w:t>
            </w:r>
          </w:p>
        </w:tc>
      </w:tr>
    </w:tbl>
    <w:p w14:paraId="65E8A1A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对于本次采购的减速机油封，默认采用丁腈橡胶（NBR）。</w:t>
      </w:r>
    </w:p>
    <w:p w14:paraId="20BA496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若减速机长期运行于高温（&gt;100℃）或存在腐蚀性介质，应选择 FKM。</w:t>
      </w:r>
    </w:p>
    <w:p w14:paraId="6234526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橡胶材料应满足</w:t>
      </w:r>
      <w:r>
        <w:rPr>
          <w:rFonts w:hint="eastAsia" w:ascii="仿宋" w:hAnsi="仿宋" w:eastAsia="仿宋" w:cs="仿宋"/>
          <w:color w:val="000000"/>
          <w:sz w:val="21"/>
          <w:szCs w:val="21"/>
          <w:lang w:val="en-US" w:eastAsia="zh-CN"/>
        </w:rPr>
        <w:t>CFW</w:t>
      </w:r>
      <w:r>
        <w:rPr>
          <w:rFonts w:hint="eastAsia" w:ascii="仿宋" w:hAnsi="仿宋" w:eastAsia="仿宋" w:cs="仿宋"/>
          <w:color w:val="000000"/>
          <w:sz w:val="21"/>
          <w:szCs w:val="21"/>
        </w:rPr>
        <w:t>品牌中有关耐油老化、压缩永久变形、拉伸强度等要求。</w:t>
      </w:r>
    </w:p>
    <w:p w14:paraId="1683D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 防止磨轴的专项技术要求</w:t>
      </w:r>
    </w:p>
    <w:p w14:paraId="0766EC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为防止油封唇口对旋转轴造成磨损，供应商应确保产品满足以下全部要求：</w:t>
      </w:r>
    </w:p>
    <w:p w14:paraId="5694B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1.</w:t>
      </w:r>
      <w:r>
        <w:rPr>
          <w:rFonts w:hint="eastAsia" w:ascii="仿宋" w:hAnsi="仿宋" w:eastAsia="仿宋" w:cs="仿宋"/>
          <w:b w:val="0"/>
          <w:bCs w:val="0"/>
          <w:color w:val="000000"/>
          <w:sz w:val="21"/>
          <w:szCs w:val="21"/>
          <w:lang w:val="en-US" w:eastAsia="zh-CN"/>
        </w:rPr>
        <w:t>4</w:t>
      </w:r>
      <w:r>
        <w:rPr>
          <w:rFonts w:hint="eastAsia" w:ascii="仿宋" w:hAnsi="仿宋" w:eastAsia="仿宋" w:cs="仿宋"/>
          <w:b w:val="0"/>
          <w:bCs w:val="0"/>
          <w:color w:val="000000"/>
          <w:sz w:val="21"/>
          <w:szCs w:val="21"/>
        </w:rPr>
        <w:t>.1 唇口几何与表面处理</w:t>
      </w:r>
    </w:p>
    <w:p w14:paraId="5841297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油封唇口与轴的接触区域应为平滑的楔形过渡，避免应力集中。</w:t>
      </w:r>
    </w:p>
    <w:p w14:paraId="1B54856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密封唇口应进行抛光或低摩擦处理，降低摩擦系数。</w:t>
      </w:r>
    </w:p>
    <w:p w14:paraId="72A4C01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主密封唇的工作面不应有飞边、毛刺、合模线凸起等缺陷。</w:t>
      </w:r>
    </w:p>
    <w:p w14:paraId="4961A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1.</w:t>
      </w:r>
      <w:r>
        <w:rPr>
          <w:rFonts w:hint="eastAsia" w:ascii="仿宋" w:hAnsi="仿宋" w:eastAsia="仿宋" w:cs="仿宋"/>
          <w:b w:val="0"/>
          <w:bCs w:val="0"/>
          <w:color w:val="000000"/>
          <w:sz w:val="21"/>
          <w:szCs w:val="21"/>
          <w:lang w:val="en-US" w:eastAsia="zh-CN"/>
        </w:rPr>
        <w:t>4</w:t>
      </w:r>
      <w:r>
        <w:rPr>
          <w:rFonts w:hint="eastAsia" w:ascii="仿宋" w:hAnsi="仿宋" w:eastAsia="仿宋" w:cs="仿宋"/>
          <w:b w:val="0"/>
          <w:bCs w:val="0"/>
          <w:color w:val="000000"/>
          <w:sz w:val="21"/>
          <w:szCs w:val="21"/>
        </w:rPr>
        <w:t>.2 润滑与油膜形成</w:t>
      </w:r>
    </w:p>
    <w:p w14:paraId="4CACAEC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油封唇口应能在运转中与轴表面形成一层极薄的、均匀的润滑油膜（厚度约0.002～0.005 mm），既要保证密封，又要防止干摩擦。</w:t>
      </w:r>
      <w:r>
        <w:rPr>
          <w:rFonts w:hint="eastAsia" w:ascii="仿宋" w:hAnsi="仿宋" w:eastAsia="仿宋" w:cs="仿宋"/>
          <w:color w:val="000000"/>
          <w:sz w:val="21"/>
          <w:szCs w:val="21"/>
          <w:lang w:val="en-US" w:eastAsia="zh-CN"/>
        </w:rPr>
        <w:t xml:space="preserve">  </w:t>
      </w:r>
    </w:p>
    <w:p w14:paraId="28C0EAA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油封设计应保证润滑油能少量渗透至唇口前端形成润滑边界，但不得出现滴漏。</w:t>
      </w:r>
    </w:p>
    <w:p w14:paraId="4BFFB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1.</w:t>
      </w:r>
      <w:r>
        <w:rPr>
          <w:rFonts w:hint="eastAsia" w:ascii="仿宋" w:hAnsi="仿宋" w:eastAsia="仿宋" w:cs="仿宋"/>
          <w:b w:val="0"/>
          <w:bCs w:val="0"/>
          <w:color w:val="000000"/>
          <w:sz w:val="21"/>
          <w:szCs w:val="21"/>
          <w:lang w:val="en-US" w:eastAsia="zh-CN"/>
        </w:rPr>
        <w:t>4</w:t>
      </w:r>
      <w:r>
        <w:rPr>
          <w:rFonts w:hint="eastAsia" w:ascii="仿宋" w:hAnsi="仿宋" w:eastAsia="仿宋" w:cs="仿宋"/>
          <w:b w:val="0"/>
          <w:bCs w:val="0"/>
          <w:color w:val="000000"/>
          <w:sz w:val="21"/>
          <w:szCs w:val="21"/>
        </w:rPr>
        <w:t>.3 径向力控制</w:t>
      </w:r>
    </w:p>
    <w:p w14:paraId="2F3A42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20" w:firstLineChars="200"/>
        <w:jc w:val="left"/>
        <w:rPr>
          <w:rFonts w:hint="eastAsia" w:ascii="仿宋" w:hAnsi="仿宋" w:eastAsia="仿宋" w:cs="仿宋"/>
          <w:b w:val="0"/>
          <w:bCs w:val="0"/>
          <w:color w:val="000000"/>
          <w:sz w:val="21"/>
          <w:szCs w:val="21"/>
        </w:rPr>
      </w:pPr>
      <w:r>
        <w:rPr>
          <w:rFonts w:hint="eastAsia" w:ascii="仿宋" w:hAnsi="仿宋" w:eastAsia="仿宋" w:cs="仿宋"/>
          <w:color w:val="000000"/>
          <w:sz w:val="21"/>
          <w:szCs w:val="21"/>
        </w:rPr>
        <w:t>根据</w:t>
      </w:r>
      <w:r>
        <w:rPr>
          <w:rFonts w:hint="eastAsia" w:ascii="仿宋" w:hAnsi="仿宋" w:eastAsia="仿宋" w:cs="仿宋"/>
          <w:color w:val="000000"/>
          <w:sz w:val="21"/>
          <w:szCs w:val="21"/>
          <w:lang w:val="en-US" w:eastAsia="zh-CN"/>
        </w:rPr>
        <w:t>CFW</w:t>
      </w:r>
      <w:r>
        <w:rPr>
          <w:rFonts w:hint="eastAsia" w:ascii="仿宋" w:hAnsi="仿宋" w:eastAsia="仿宋" w:cs="仿宋"/>
          <w:color w:val="000000"/>
          <w:sz w:val="21"/>
          <w:szCs w:val="21"/>
        </w:rPr>
        <w:t>品牌附录推荐的径向力限值，供应商应提供该规格油封的径向力实测值范围，确保径向力不过大（避免过度磨损轴）也不过小（避免泄漏）。</w:t>
      </w:r>
    </w:p>
    <w:p w14:paraId="2AD2268E">
      <w:pPr>
        <w:keepNext w:val="0"/>
        <w:keepLines w:val="0"/>
        <w:widowControl/>
        <w:suppressLineNumbers w:val="0"/>
        <w:jc w:val="left"/>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rPr>
        <w:t>附件</w:t>
      </w:r>
      <w:r>
        <w:rPr>
          <w:rFonts w:hint="eastAsia" w:ascii="仿宋" w:hAnsi="仿宋" w:eastAsia="仿宋" w:cs="仿宋"/>
          <w:b/>
          <w:color w:val="auto"/>
          <w:sz w:val="21"/>
          <w:szCs w:val="21"/>
          <w:lang w:val="en-US" w:eastAsia="zh-CN"/>
        </w:rPr>
        <w:t>三 密封性能要求</w:t>
      </w:r>
    </w:p>
    <w:p w14:paraId="3B05FAB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在品牌规定的试验条件下（旋转速度、油压、温度），油封应无可见泄漏。</w:t>
      </w:r>
    </w:p>
    <w:p w14:paraId="4CBB0D0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允许微油膜渗出（形成润滑边界），但不允许形成滴油或渗油线。</w:t>
      </w:r>
    </w:p>
    <w:p w14:paraId="6147679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在静态和动态条件下均需满足密封要求。</w:t>
      </w:r>
    </w:p>
    <w:p w14:paraId="32C54AC0">
      <w:pPr>
        <w:keepNext w:val="0"/>
        <w:keepLines w:val="0"/>
        <w:widowControl/>
        <w:suppressLineNumbers w:val="0"/>
        <w:jc w:val="left"/>
        <w:rPr>
          <w:rFonts w:hint="eastAsia" w:ascii="仿宋" w:hAnsi="仿宋" w:eastAsia="仿宋" w:cs="仿宋"/>
          <w:b/>
          <w:color w:val="auto"/>
          <w:sz w:val="21"/>
          <w:szCs w:val="21"/>
        </w:rPr>
      </w:pPr>
      <w:r>
        <w:rPr>
          <w:rFonts w:hint="eastAsia" w:ascii="仿宋" w:hAnsi="仿宋" w:eastAsia="仿宋" w:cs="仿宋"/>
          <w:b/>
          <w:color w:val="auto"/>
          <w:sz w:val="21"/>
          <w:szCs w:val="21"/>
        </w:rPr>
        <w:t>附件</w:t>
      </w:r>
      <w:r>
        <w:rPr>
          <w:rFonts w:hint="eastAsia" w:ascii="仿宋" w:hAnsi="仿宋" w:eastAsia="仿宋" w:cs="仿宋"/>
          <w:b/>
          <w:color w:val="auto"/>
          <w:sz w:val="21"/>
          <w:szCs w:val="21"/>
          <w:lang w:val="en-US" w:eastAsia="zh-CN"/>
        </w:rPr>
        <w:t>四 外观质量及标识要求</w:t>
      </w:r>
    </w:p>
    <w:p w14:paraId="7B0A2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按品牌中的外观要求：</w:t>
      </w:r>
    </w:p>
    <w:p w14:paraId="0180D92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橡胶表面无气泡、裂纹、缺胶、流痕、杂质；</w:t>
      </w:r>
    </w:p>
    <w:p w14:paraId="222656A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唇口完整、无缺口或划伤；</w:t>
      </w:r>
    </w:p>
    <w:p w14:paraId="2D55998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金属骨架无锈蚀、变形；</w:t>
      </w:r>
    </w:p>
    <w:p w14:paraId="522BC1F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弹簧安装位置正确，无扭曲或脱出。</w:t>
      </w:r>
    </w:p>
    <w:p w14:paraId="5CFA9E1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每个油封上应有清晰、持久的标识，至少包括：</w:t>
      </w:r>
    </w:p>
    <w:p w14:paraId="5DE2B2C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规格（内径 × 外径 × 高度，mm）；</w:t>
      </w:r>
    </w:p>
    <w:p w14:paraId="5B81649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型式代号（A 或 WA）；</w:t>
      </w:r>
    </w:p>
    <w:p w14:paraId="1084998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材料代号（如 NBR、FKM）；</w:t>
      </w:r>
    </w:p>
    <w:p w14:paraId="380153D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hanging="42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制造商名或商标；</w:t>
      </w:r>
    </w:p>
    <w:p w14:paraId="6131935E">
      <w:pPr>
        <w:rPr>
          <w:rFonts w:hint="eastAsia" w:ascii="仿宋" w:hAnsi="仿宋" w:eastAsia="仿宋" w:cs="仿宋"/>
          <w:sz w:val="21"/>
          <w:szCs w:val="21"/>
        </w:rPr>
      </w:pPr>
    </w:p>
    <w:p w14:paraId="4DCD7995">
      <w:pPr>
        <w:keepNext w:val="0"/>
        <w:keepLines w:val="0"/>
        <w:widowControl/>
        <w:suppressLineNumbers w:val="0"/>
        <w:jc w:val="left"/>
        <w:rPr>
          <w:rFonts w:hint="eastAsia" w:ascii="仿宋" w:hAnsi="仿宋" w:eastAsia="仿宋" w:cs="仿宋"/>
          <w:b/>
          <w:color w:val="auto"/>
          <w:sz w:val="21"/>
          <w:szCs w:val="21"/>
        </w:rPr>
      </w:pPr>
      <w:r>
        <w:rPr>
          <w:rFonts w:hint="eastAsia" w:ascii="仿宋" w:hAnsi="仿宋" w:eastAsia="仿宋" w:cs="仿宋"/>
          <w:b/>
          <w:color w:val="auto"/>
          <w:sz w:val="21"/>
          <w:szCs w:val="21"/>
        </w:rPr>
        <w:t>附件五 售后服务</w:t>
      </w:r>
    </w:p>
    <w:p w14:paraId="66A7619D">
      <w:pPr>
        <w:tabs>
          <w:tab w:val="left" w:pos="0"/>
          <w:tab w:val="left" w:pos="720"/>
          <w:tab w:val="left" w:pos="1080"/>
        </w:tabs>
        <w:adjustRightInd/>
        <w:spacing w:line="360" w:lineRule="auto"/>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5.1质量保证项目：所有油封</w:t>
      </w:r>
      <w:r>
        <w:rPr>
          <w:rFonts w:hint="eastAsia" w:ascii="仿宋" w:hAnsi="仿宋" w:eastAsia="仿宋" w:cs="仿宋"/>
          <w:color w:val="auto"/>
          <w:sz w:val="21"/>
          <w:szCs w:val="21"/>
          <w:lang w:val="en-US" w:eastAsia="zh-CN"/>
        </w:rPr>
        <w:t>寿命不低于3年，无渗油漏油。</w:t>
      </w:r>
    </w:p>
    <w:p w14:paraId="331201CD">
      <w:pPr>
        <w:pStyle w:val="8"/>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5.2保质期内，凡是由于设备质量问题引起的损坏，乙方在接到通知24小时内到达现场，无偿负责维修恢复原有的功能，同时无偿提供设备备件1套。</w:t>
      </w:r>
    </w:p>
    <w:p w14:paraId="029B5A6D">
      <w:pPr>
        <w:pStyle w:val="8"/>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设备因甲方人为原因出现损坏，按甲方通知，乙方积极配合甲方维修处理，优先、及时提供备件，费用由甲方承担。</w:t>
      </w:r>
    </w:p>
    <w:p w14:paraId="3CFAB791">
      <w:pPr>
        <w:pStyle w:val="8"/>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5.4供应商应提供中文版安装指导说明，特别是防止磨轴的具体安装步骤（如润滑唇口、使用安装套筒、避免倾斜等）。</w:t>
      </w:r>
    </w:p>
    <w:p w14:paraId="6444B98E">
      <w:pPr>
        <w:spacing w:line="360" w:lineRule="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lang w:val="en-US" w:eastAsia="zh-CN"/>
        </w:rPr>
        <w:t>5.5</w:t>
      </w:r>
      <w:r>
        <w:rPr>
          <w:rFonts w:hint="eastAsia" w:ascii="仿宋" w:hAnsi="仿宋" w:eastAsia="仿宋" w:cs="仿宋"/>
          <w:color w:val="auto"/>
          <w:sz w:val="21"/>
          <w:szCs w:val="21"/>
        </w:rPr>
        <w:t>联系人电子邮箱：</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"mailto:panzhongming@jiugang.com"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val="en-US" w:eastAsia="zh-CN"/>
        </w:rPr>
        <w:t>majin</w:t>
      </w:r>
      <w:r>
        <w:rPr>
          <w:rFonts w:hint="eastAsia" w:ascii="仿宋" w:hAnsi="仿宋" w:eastAsia="仿宋" w:cs="仿宋"/>
          <w:color w:val="auto"/>
          <w:sz w:val="21"/>
          <w:szCs w:val="21"/>
          <w:highlight w:val="none"/>
        </w:rPr>
        <w:t>@jiugang.com</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甲方</w:t>
      </w:r>
      <w:r>
        <w:rPr>
          <w:rFonts w:hint="eastAsia" w:ascii="仿宋" w:hAnsi="仿宋" w:eastAsia="仿宋" w:cs="仿宋"/>
          <w:color w:val="auto"/>
          <w:sz w:val="21"/>
          <w:szCs w:val="21"/>
          <w:highlight w:val="none"/>
          <w:lang w:eastAsia="zh-CN"/>
        </w:rPr>
        <w:t>电话：</w:t>
      </w:r>
      <w:r>
        <w:rPr>
          <w:rFonts w:hint="eastAsia" w:ascii="仿宋" w:hAnsi="仿宋" w:eastAsia="仿宋" w:cs="仿宋"/>
          <w:color w:val="auto"/>
          <w:sz w:val="21"/>
          <w:szCs w:val="21"/>
          <w:highlight w:val="none"/>
          <w:lang w:val="en-US" w:eastAsia="zh-CN"/>
        </w:rPr>
        <w:t>15719398685</w:t>
      </w:r>
    </w:p>
    <w:p w14:paraId="5195727A">
      <w:pPr>
        <w:keepNext w:val="0"/>
        <w:keepLines w:val="0"/>
        <w:widowControl/>
        <w:suppressLineNumbers w:val="0"/>
        <w:jc w:val="left"/>
        <w:rPr>
          <w:rFonts w:hint="eastAsia" w:ascii="仿宋" w:hAnsi="仿宋" w:eastAsia="仿宋" w:cs="仿宋"/>
          <w:b/>
          <w:color w:val="auto"/>
          <w:sz w:val="21"/>
          <w:szCs w:val="21"/>
        </w:rPr>
      </w:pPr>
      <w:r>
        <w:rPr>
          <w:rFonts w:hint="eastAsia" w:ascii="仿宋" w:hAnsi="仿宋" w:eastAsia="仿宋" w:cs="仿宋"/>
          <w:b/>
          <w:color w:val="auto"/>
          <w:sz w:val="21"/>
          <w:szCs w:val="21"/>
        </w:rPr>
        <w:t>附件六  交货时间及地点</w:t>
      </w:r>
    </w:p>
    <w:p w14:paraId="121F0A15">
      <w:pPr>
        <w:numPr>
          <w:ilvl w:val="2"/>
          <w:numId w:val="7"/>
        </w:numPr>
        <w:tabs>
          <w:tab w:val="left" w:pos="-180"/>
          <w:tab w:val="left" w:pos="-120"/>
          <w:tab w:val="left" w:pos="540"/>
          <w:tab w:val="left" w:pos="720"/>
        </w:tabs>
        <w:adjustRightInd/>
        <w:spacing w:line="360" w:lineRule="auto"/>
        <w:ind w:left="0" w:firstLine="12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交货时间：</w:t>
      </w:r>
    </w:p>
    <w:p w14:paraId="197F01DE">
      <w:pPr>
        <w:numPr>
          <w:ilvl w:val="0"/>
          <w:numId w:val="0"/>
        </w:numPr>
        <w:tabs>
          <w:tab w:val="left" w:pos="-180"/>
          <w:tab w:val="left" w:pos="-120"/>
          <w:tab w:val="left" w:pos="540"/>
          <w:tab w:val="left" w:pos="720"/>
        </w:tabs>
        <w:adjustRightInd/>
        <w:spacing w:line="360" w:lineRule="auto"/>
        <w:ind w:firstLine="420" w:firstLineChars="200"/>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交货时间：</w:t>
      </w:r>
      <w:r>
        <w:rPr>
          <w:rFonts w:hint="eastAsia" w:ascii="仿宋" w:hAnsi="仿宋" w:eastAsia="仿宋" w:cs="仿宋"/>
          <w:color w:val="auto"/>
          <w:sz w:val="21"/>
          <w:szCs w:val="21"/>
          <w:lang w:eastAsia="zh-CN"/>
        </w:rPr>
        <w:t>以合同签订时间为准</w:t>
      </w:r>
      <w:bookmarkStart w:id="0" w:name="_GoBack"/>
      <w:bookmarkEnd w:id="0"/>
    </w:p>
    <w:p w14:paraId="170B93EB">
      <w:pPr>
        <w:numPr>
          <w:ilvl w:val="2"/>
          <w:numId w:val="7"/>
        </w:numPr>
        <w:tabs>
          <w:tab w:val="left" w:pos="-180"/>
          <w:tab w:val="left" w:pos="-120"/>
          <w:tab w:val="left" w:pos="540"/>
          <w:tab w:val="left" w:pos="720"/>
        </w:tabs>
        <w:adjustRightInd/>
        <w:spacing w:line="360" w:lineRule="auto"/>
        <w:ind w:left="0" w:firstLine="12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交货地点：甘肃省嘉峪关市酒钢储运部工矿备件仓储部</w:t>
      </w:r>
    </w:p>
    <w:p w14:paraId="3DD176F6">
      <w:pPr>
        <w:keepNext w:val="0"/>
        <w:keepLines w:val="0"/>
        <w:widowControl/>
        <w:suppressLineNumbers w:val="0"/>
        <w:jc w:val="left"/>
        <w:rPr>
          <w:rFonts w:hint="eastAsia" w:ascii="仿宋" w:hAnsi="仿宋" w:eastAsia="仿宋" w:cs="仿宋"/>
          <w:b/>
          <w:color w:val="auto"/>
          <w:sz w:val="21"/>
          <w:szCs w:val="21"/>
        </w:rPr>
      </w:pPr>
      <w:r>
        <w:rPr>
          <w:rFonts w:hint="eastAsia" w:ascii="仿宋" w:hAnsi="仿宋" w:eastAsia="仿宋" w:cs="仿宋"/>
          <w:b/>
          <w:color w:val="auto"/>
          <w:sz w:val="21"/>
          <w:szCs w:val="21"/>
        </w:rPr>
        <w:t>附件七   其它</w:t>
      </w:r>
    </w:p>
    <w:p w14:paraId="61E1C686">
      <w:pPr>
        <w:numPr>
          <w:ilvl w:val="0"/>
          <w:numId w:val="0"/>
        </w:numPr>
        <w:tabs>
          <w:tab w:val="left" w:pos="540"/>
          <w:tab w:val="left" w:pos="840"/>
          <w:tab w:val="left" w:pos="1080"/>
        </w:tabs>
        <w:spacing w:line="360" w:lineRule="auto"/>
        <w:ind w:left="420" w:leftChars="0"/>
        <w:rPr>
          <w:rFonts w:hint="eastAsia" w:ascii="仿宋" w:hAnsi="仿宋" w:eastAsia="仿宋" w:cs="仿宋"/>
          <w:sz w:val="21"/>
          <w:szCs w:val="21"/>
        </w:rPr>
      </w:pPr>
      <w:r>
        <w:rPr>
          <w:rFonts w:hint="eastAsia" w:ascii="仿宋" w:hAnsi="仿宋" w:eastAsia="仿宋" w:cs="仿宋"/>
          <w:sz w:val="21"/>
          <w:szCs w:val="21"/>
          <w:lang w:val="en-US" w:eastAsia="zh-CN"/>
        </w:rPr>
        <w:t xml:space="preserve">7.1本协议内容经由甲乙双方于 XX 年 X 月 X 日 X 时-X 时通过 XXXX 方式商定。 </w:t>
      </w:r>
    </w:p>
    <w:p w14:paraId="1603F842">
      <w:pPr>
        <w:numPr>
          <w:ilvl w:val="0"/>
          <w:numId w:val="0"/>
        </w:numPr>
        <w:tabs>
          <w:tab w:val="left" w:pos="540"/>
          <w:tab w:val="left" w:pos="840"/>
          <w:tab w:val="left" w:pos="1080"/>
        </w:tabs>
        <w:spacing w:line="360" w:lineRule="auto"/>
        <w:ind w:left="420" w:leftChars="0"/>
        <w:rPr>
          <w:rFonts w:hint="eastAsia" w:ascii="仿宋" w:hAnsi="仿宋" w:eastAsia="仿宋" w:cs="仿宋"/>
          <w:b/>
          <w:sz w:val="21"/>
          <w:szCs w:val="21"/>
        </w:rPr>
      </w:pPr>
      <w:r>
        <w:rPr>
          <w:rFonts w:hint="eastAsia" w:ascii="仿宋" w:hAnsi="仿宋" w:eastAsia="仿宋" w:cs="仿宋"/>
          <w:sz w:val="21"/>
          <w:szCs w:val="21"/>
          <w:lang w:val="en-US" w:eastAsia="zh-CN"/>
        </w:rPr>
        <w:t>7.2甲乙双方应当就签订本协议的相关事宜保密，不得将签订主体、时间、内容等信息透露给其他第三人。</w:t>
      </w:r>
    </w:p>
    <w:p w14:paraId="45947E00">
      <w:pPr>
        <w:numPr>
          <w:ilvl w:val="0"/>
          <w:numId w:val="0"/>
        </w:numPr>
        <w:tabs>
          <w:tab w:val="left" w:pos="540"/>
          <w:tab w:val="left" w:pos="840"/>
          <w:tab w:val="left" w:pos="1080"/>
        </w:tabs>
        <w:spacing w:line="360" w:lineRule="auto"/>
        <w:ind w:left="420"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7.3若</w:t>
      </w:r>
      <w:r>
        <w:rPr>
          <w:rFonts w:hint="eastAsia" w:ascii="仿宋" w:hAnsi="仿宋" w:eastAsia="仿宋" w:cs="仿宋"/>
          <w:sz w:val="21"/>
          <w:szCs w:val="21"/>
          <w:u w:val="single"/>
          <w:lang w:val="en-US" w:eastAsia="zh-CN"/>
        </w:rPr>
        <w:t>   </w:t>
      </w:r>
      <w:r>
        <w:rPr>
          <w:rFonts w:hint="eastAsia" w:ascii="仿宋" w:hAnsi="仿宋" w:eastAsia="仿宋" w:cs="仿宋"/>
          <w:sz w:val="21"/>
          <w:szCs w:val="21"/>
          <w:lang w:val="en-US" w:eastAsia="zh-CN"/>
        </w:rPr>
        <w:t>公司不能中标，则本技术规格书自动失效，双方互不承担任何责任。</w:t>
      </w:r>
    </w:p>
    <w:p w14:paraId="695A3269">
      <w:pPr>
        <w:numPr>
          <w:ilvl w:val="0"/>
          <w:numId w:val="0"/>
        </w:numPr>
        <w:tabs>
          <w:tab w:val="left" w:pos="540"/>
          <w:tab w:val="left" w:pos="840"/>
          <w:tab w:val="left" w:pos="1080"/>
        </w:tabs>
        <w:spacing w:line="360" w:lineRule="auto"/>
        <w:ind w:left="420" w:leftChars="0"/>
        <w:rPr>
          <w:rFonts w:hint="eastAsia" w:ascii="仿宋" w:hAnsi="仿宋" w:eastAsia="仿宋" w:cs="仿宋"/>
          <w:sz w:val="21"/>
          <w:szCs w:val="21"/>
        </w:rPr>
      </w:pPr>
      <w:r>
        <w:rPr>
          <w:rFonts w:hint="eastAsia" w:ascii="仿宋" w:hAnsi="仿宋" w:eastAsia="仿宋" w:cs="仿宋"/>
          <w:sz w:val="21"/>
          <w:szCs w:val="21"/>
          <w:lang w:val="en-US" w:eastAsia="zh-CN"/>
        </w:rPr>
        <w:t>7.4</w:t>
      </w:r>
      <w:r>
        <w:rPr>
          <w:rFonts w:hint="eastAsia" w:ascii="仿宋" w:hAnsi="仿宋" w:eastAsia="仿宋" w:cs="仿宋"/>
          <w:sz w:val="21"/>
          <w:szCs w:val="21"/>
        </w:rPr>
        <w:t>本协议一式四份，甲方三份，乙方一份。</w:t>
      </w:r>
    </w:p>
    <w:p w14:paraId="33AD4244">
      <w:pPr>
        <w:numPr>
          <w:ilvl w:val="0"/>
          <w:numId w:val="0"/>
        </w:numPr>
        <w:tabs>
          <w:tab w:val="left" w:pos="540"/>
          <w:tab w:val="left" w:pos="840"/>
          <w:tab w:val="left" w:pos="1080"/>
        </w:tabs>
        <w:adjustRightInd/>
        <w:spacing w:line="360" w:lineRule="auto"/>
        <w:ind w:leftChars="171"/>
        <w:jc w:val="both"/>
        <w:textAlignment w:val="auto"/>
        <w:rPr>
          <w:rFonts w:hint="eastAsia" w:ascii="仿宋" w:hAnsi="仿宋" w:eastAsia="仿宋" w:cs="仿宋"/>
          <w:color w:val="auto"/>
          <w:sz w:val="21"/>
          <w:szCs w:val="21"/>
        </w:rPr>
      </w:pPr>
    </w:p>
    <w:p w14:paraId="22042EB7">
      <w:pPr>
        <w:numPr>
          <w:ilvl w:val="0"/>
          <w:numId w:val="0"/>
        </w:numPr>
        <w:tabs>
          <w:tab w:val="left" w:pos="540"/>
          <w:tab w:val="left" w:pos="840"/>
          <w:tab w:val="left" w:pos="1080"/>
        </w:tabs>
        <w:adjustRightInd/>
        <w:spacing w:line="360" w:lineRule="auto"/>
        <w:ind w:leftChars="171"/>
        <w:jc w:val="both"/>
        <w:textAlignment w:val="auto"/>
        <w:rPr>
          <w:rFonts w:hint="eastAsia" w:ascii="仿宋" w:hAnsi="仿宋" w:eastAsia="仿宋" w:cs="仿宋"/>
          <w:color w:val="auto"/>
          <w:sz w:val="21"/>
          <w:szCs w:val="21"/>
        </w:rPr>
      </w:pPr>
    </w:p>
    <w:p w14:paraId="1C7A5A3B">
      <w:pPr>
        <w:pStyle w:val="6"/>
        <w:tabs>
          <w:tab w:val="left" w:pos="5094"/>
        </w:tabs>
        <w:spacing w:line="480" w:lineRule="auto"/>
        <w:ind w:right="1735"/>
        <w:rPr>
          <w:rFonts w:hint="eastAsia" w:ascii="仿宋" w:hAnsi="仿宋" w:eastAsia="仿宋" w:cs="仿宋"/>
          <w:b/>
          <w:bCs/>
          <w:sz w:val="24"/>
          <w:szCs w:val="4"/>
        </w:rPr>
      </w:pPr>
      <w:r>
        <w:rPr>
          <w:rFonts w:hint="eastAsia" w:ascii="仿宋" w:hAnsi="仿宋" w:eastAsia="仿宋" w:cs="仿宋"/>
          <w:b/>
          <w:bCs/>
          <w:sz w:val="24"/>
          <w:szCs w:val="4"/>
        </w:rPr>
        <w:t>甲方：甘肃酒钢集团宏兴钢铁股份有限公司炼铁厂</w:t>
      </w:r>
      <w:r>
        <w:rPr>
          <w:rFonts w:hint="eastAsia" w:ascii="仿宋" w:hAnsi="仿宋" w:eastAsia="仿宋" w:cs="仿宋"/>
          <w:b/>
          <w:bCs/>
          <w:sz w:val="24"/>
          <w:szCs w:val="4"/>
        </w:rPr>
        <w:tab/>
      </w:r>
      <w:r>
        <w:rPr>
          <w:rFonts w:hint="eastAsia" w:ascii="仿宋" w:hAnsi="仿宋" w:eastAsia="仿宋" w:cs="仿宋"/>
          <w:b/>
          <w:bCs/>
          <w:sz w:val="24"/>
          <w:szCs w:val="4"/>
        </w:rPr>
        <w:t>乙方：</w:t>
      </w:r>
    </w:p>
    <w:p w14:paraId="5E014D99">
      <w:pPr>
        <w:pStyle w:val="6"/>
        <w:tabs>
          <w:tab w:val="left" w:pos="5094"/>
        </w:tabs>
        <w:spacing w:line="480" w:lineRule="auto"/>
        <w:rPr>
          <w:rFonts w:hint="eastAsia" w:ascii="仿宋" w:hAnsi="仿宋" w:eastAsia="仿宋" w:cs="仿宋"/>
          <w:b/>
          <w:bCs/>
          <w:sz w:val="2"/>
          <w:szCs w:val="4"/>
        </w:rPr>
      </w:pPr>
      <w:r>
        <w:rPr>
          <w:rFonts w:hint="eastAsia" w:ascii="仿宋" w:hAnsi="仿宋" w:eastAsia="仿宋" w:cs="仿宋"/>
          <w:b/>
          <w:bCs/>
          <w:sz w:val="24"/>
          <w:szCs w:val="4"/>
        </w:rPr>
        <w:t>代表：</w:t>
      </w:r>
      <w:r>
        <w:rPr>
          <w:rFonts w:hint="eastAsia" w:ascii="仿宋" w:hAnsi="仿宋" w:eastAsia="仿宋" w:cs="仿宋"/>
          <w:b/>
          <w:bCs/>
          <w:sz w:val="24"/>
          <w:szCs w:val="4"/>
        </w:rPr>
        <w:tab/>
      </w:r>
      <w:r>
        <w:rPr>
          <w:rFonts w:hint="eastAsia" w:ascii="仿宋" w:hAnsi="仿宋" w:eastAsia="仿宋" w:cs="仿宋"/>
          <w:b/>
          <w:bCs/>
          <w:sz w:val="24"/>
          <w:szCs w:val="4"/>
          <w:lang w:val="en-US" w:eastAsia="zh-CN"/>
        </w:rPr>
        <w:t xml:space="preserve">   </w:t>
      </w:r>
      <w:r>
        <w:rPr>
          <w:rFonts w:hint="eastAsia" w:ascii="仿宋" w:hAnsi="仿宋" w:eastAsia="仿宋" w:cs="仿宋"/>
          <w:b/>
          <w:bCs/>
          <w:w w:val="95"/>
          <w:sz w:val="24"/>
          <w:szCs w:val="4"/>
        </w:rPr>
        <w:t>代表：</w:t>
      </w:r>
    </w:p>
    <w:p w14:paraId="622DA34C">
      <w:pPr>
        <w:pStyle w:val="6"/>
        <w:tabs>
          <w:tab w:val="left" w:pos="1419"/>
          <w:tab w:val="left" w:pos="1945"/>
          <w:tab w:val="left" w:pos="2468"/>
          <w:tab w:val="left" w:pos="5094"/>
          <w:tab w:val="left" w:pos="6354"/>
          <w:tab w:val="left" w:pos="6879"/>
          <w:tab w:val="left" w:pos="7405"/>
        </w:tabs>
        <w:spacing w:line="480" w:lineRule="auto"/>
        <w:rPr>
          <w:rFonts w:hint="eastAsia" w:ascii="仿宋" w:hAnsi="仿宋" w:eastAsia="仿宋" w:cs="仿宋"/>
          <w:b/>
          <w:bCs/>
          <w:sz w:val="24"/>
          <w:szCs w:val="4"/>
        </w:rPr>
      </w:pPr>
      <w:r>
        <w:rPr>
          <w:rFonts w:hint="eastAsia" w:ascii="仿宋" w:hAnsi="仿宋" w:eastAsia="仿宋" w:cs="仿宋"/>
          <w:b/>
          <w:bCs/>
          <w:sz w:val="24"/>
          <w:szCs w:val="4"/>
        </w:rPr>
        <w:t>日期：</w:t>
      </w:r>
      <w:r>
        <w:rPr>
          <w:rFonts w:hint="eastAsia" w:ascii="仿宋" w:hAnsi="仿宋" w:eastAsia="仿宋" w:cs="仿宋"/>
          <w:b/>
          <w:bCs/>
          <w:sz w:val="24"/>
          <w:szCs w:val="4"/>
        </w:rPr>
        <w:tab/>
      </w:r>
      <w:r>
        <w:rPr>
          <w:rFonts w:hint="eastAsia" w:ascii="仿宋" w:hAnsi="仿宋" w:eastAsia="仿宋" w:cs="仿宋"/>
          <w:b/>
          <w:bCs/>
          <w:sz w:val="24"/>
          <w:szCs w:val="4"/>
        </w:rPr>
        <w:t>年</w:t>
      </w:r>
      <w:r>
        <w:rPr>
          <w:rFonts w:hint="eastAsia" w:ascii="仿宋" w:hAnsi="仿宋" w:eastAsia="仿宋" w:cs="仿宋"/>
          <w:b/>
          <w:bCs/>
          <w:sz w:val="24"/>
          <w:szCs w:val="4"/>
        </w:rPr>
        <w:tab/>
      </w:r>
      <w:r>
        <w:rPr>
          <w:rFonts w:hint="eastAsia" w:ascii="仿宋" w:hAnsi="仿宋" w:eastAsia="仿宋" w:cs="仿宋"/>
          <w:b/>
          <w:bCs/>
          <w:sz w:val="24"/>
          <w:szCs w:val="4"/>
        </w:rPr>
        <w:t>月</w:t>
      </w:r>
      <w:r>
        <w:rPr>
          <w:rFonts w:hint="eastAsia" w:ascii="仿宋" w:hAnsi="仿宋" w:eastAsia="仿宋" w:cs="仿宋"/>
          <w:b/>
          <w:bCs/>
          <w:sz w:val="24"/>
          <w:szCs w:val="4"/>
        </w:rPr>
        <w:tab/>
      </w:r>
      <w:r>
        <w:rPr>
          <w:rFonts w:hint="eastAsia" w:ascii="仿宋" w:hAnsi="仿宋" w:eastAsia="仿宋" w:cs="仿宋"/>
          <w:b/>
          <w:bCs/>
          <w:sz w:val="24"/>
          <w:szCs w:val="4"/>
        </w:rPr>
        <w:t>日</w:t>
      </w:r>
      <w:r>
        <w:rPr>
          <w:rFonts w:hint="eastAsia" w:ascii="仿宋" w:hAnsi="仿宋" w:eastAsia="仿宋" w:cs="仿宋"/>
          <w:b/>
          <w:bCs/>
          <w:sz w:val="24"/>
          <w:szCs w:val="4"/>
        </w:rPr>
        <w:tab/>
      </w:r>
      <w:r>
        <w:rPr>
          <w:rFonts w:hint="eastAsia" w:ascii="仿宋" w:hAnsi="仿宋" w:eastAsia="仿宋" w:cs="仿宋"/>
          <w:b/>
          <w:bCs/>
          <w:sz w:val="24"/>
          <w:szCs w:val="4"/>
          <w:lang w:val="en-US" w:eastAsia="zh-CN"/>
        </w:rPr>
        <w:t xml:space="preserve">   </w:t>
      </w:r>
      <w:r>
        <w:rPr>
          <w:rFonts w:hint="eastAsia" w:ascii="仿宋" w:hAnsi="仿宋" w:eastAsia="仿宋" w:cs="仿宋"/>
          <w:b/>
          <w:bCs/>
          <w:sz w:val="24"/>
          <w:szCs w:val="4"/>
        </w:rPr>
        <w:t>日期：</w:t>
      </w:r>
      <w:r>
        <w:rPr>
          <w:rFonts w:hint="eastAsia" w:ascii="仿宋" w:hAnsi="仿宋" w:eastAsia="仿宋" w:cs="仿宋"/>
          <w:b/>
          <w:bCs/>
          <w:sz w:val="24"/>
          <w:szCs w:val="4"/>
        </w:rPr>
        <w:tab/>
      </w:r>
      <w:r>
        <w:rPr>
          <w:rFonts w:hint="eastAsia" w:ascii="仿宋" w:hAnsi="仿宋" w:eastAsia="仿宋" w:cs="仿宋"/>
          <w:b/>
          <w:bCs/>
          <w:sz w:val="24"/>
          <w:szCs w:val="4"/>
        </w:rPr>
        <w:t>年</w:t>
      </w:r>
      <w:r>
        <w:rPr>
          <w:rFonts w:hint="eastAsia" w:ascii="仿宋" w:hAnsi="仿宋" w:eastAsia="仿宋" w:cs="仿宋"/>
          <w:b/>
          <w:bCs/>
          <w:sz w:val="24"/>
          <w:szCs w:val="4"/>
        </w:rPr>
        <w:tab/>
      </w:r>
      <w:r>
        <w:rPr>
          <w:rFonts w:hint="eastAsia" w:ascii="仿宋" w:hAnsi="仿宋" w:eastAsia="仿宋" w:cs="仿宋"/>
          <w:b/>
          <w:bCs/>
          <w:sz w:val="24"/>
          <w:szCs w:val="4"/>
        </w:rPr>
        <w:t>月</w:t>
      </w:r>
      <w:r>
        <w:rPr>
          <w:rFonts w:hint="eastAsia" w:ascii="仿宋" w:hAnsi="仿宋" w:eastAsia="仿宋" w:cs="仿宋"/>
          <w:b/>
          <w:bCs/>
          <w:sz w:val="24"/>
          <w:szCs w:val="4"/>
        </w:rPr>
        <w:tab/>
      </w:r>
      <w:r>
        <w:rPr>
          <w:rFonts w:hint="eastAsia" w:ascii="仿宋" w:hAnsi="仿宋" w:eastAsia="仿宋" w:cs="仿宋"/>
          <w:b/>
          <w:bCs/>
          <w:sz w:val="24"/>
          <w:szCs w:val="4"/>
        </w:rPr>
        <w:t>日</w:t>
      </w:r>
    </w:p>
    <w:p w14:paraId="2883BEB4">
      <w:pPr>
        <w:numPr>
          <w:ilvl w:val="0"/>
          <w:numId w:val="0"/>
        </w:numPr>
        <w:tabs>
          <w:tab w:val="left" w:pos="540"/>
          <w:tab w:val="left" w:pos="840"/>
          <w:tab w:val="left" w:pos="1080"/>
        </w:tabs>
        <w:adjustRightInd/>
        <w:spacing w:line="360" w:lineRule="auto"/>
        <w:ind w:leftChars="171"/>
        <w:jc w:val="both"/>
        <w:textAlignment w:val="auto"/>
        <w:rPr>
          <w:rFonts w:hint="eastAsia" w:ascii="仿宋" w:hAnsi="仿宋" w:eastAsia="仿宋" w:cs="仿宋"/>
          <w:color w:val="auto"/>
          <w:sz w:val="21"/>
          <w:szCs w:val="21"/>
        </w:rPr>
      </w:pPr>
    </w:p>
    <w:sectPr>
      <w:footerReference r:id="rId5" w:type="default"/>
      <w:pgSz w:w="11907" w:h="16840"/>
      <w:pgMar w:top="1440" w:right="1797" w:bottom="1440" w:left="1797"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2C158">
    <w:pPr>
      <w:pStyle w:val="9"/>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AD3DA"/>
    <w:multiLevelType w:val="singleLevel"/>
    <w:tmpl w:val="A9DAD3DA"/>
    <w:lvl w:ilvl="0" w:tentative="0">
      <w:start w:val="1"/>
      <w:numFmt w:val="bullet"/>
      <w:lvlText w:val=""/>
      <w:lvlJc w:val="left"/>
      <w:pPr>
        <w:ind w:left="420" w:hanging="420"/>
      </w:pPr>
      <w:rPr>
        <w:rFonts w:hint="default" w:ascii="Wingdings" w:hAnsi="Wingdings"/>
      </w:rPr>
    </w:lvl>
  </w:abstractNum>
  <w:abstractNum w:abstractNumId="1">
    <w:nsid w:val="B24A7726"/>
    <w:multiLevelType w:val="singleLevel"/>
    <w:tmpl w:val="B24A7726"/>
    <w:lvl w:ilvl="0" w:tentative="0">
      <w:start w:val="1"/>
      <w:numFmt w:val="bullet"/>
      <w:lvlText w:val=""/>
      <w:lvlJc w:val="left"/>
      <w:pPr>
        <w:ind w:left="420" w:hanging="420"/>
      </w:pPr>
      <w:rPr>
        <w:rFonts w:hint="default" w:ascii="Wingdings" w:hAnsi="Wingdings"/>
      </w:rPr>
    </w:lvl>
  </w:abstractNum>
  <w:abstractNum w:abstractNumId="2">
    <w:nsid w:val="D1F423D1"/>
    <w:multiLevelType w:val="singleLevel"/>
    <w:tmpl w:val="D1F423D1"/>
    <w:lvl w:ilvl="0" w:tentative="0">
      <w:start w:val="1"/>
      <w:numFmt w:val="bullet"/>
      <w:lvlText w:val=""/>
      <w:lvlJc w:val="left"/>
      <w:pPr>
        <w:ind w:left="420" w:hanging="420"/>
      </w:pPr>
      <w:rPr>
        <w:rFonts w:hint="default" w:ascii="Wingdings" w:hAnsi="Wingdings"/>
      </w:rPr>
    </w:lvl>
  </w:abstractNum>
  <w:abstractNum w:abstractNumId="3">
    <w:nsid w:val="D3011CE8"/>
    <w:multiLevelType w:val="singleLevel"/>
    <w:tmpl w:val="D3011CE8"/>
    <w:lvl w:ilvl="0" w:tentative="0">
      <w:start w:val="1"/>
      <w:numFmt w:val="bullet"/>
      <w:lvlText w:val=""/>
      <w:lvlJc w:val="left"/>
      <w:pPr>
        <w:ind w:left="420" w:hanging="420"/>
      </w:pPr>
      <w:rPr>
        <w:rFonts w:hint="default" w:ascii="Wingdings" w:hAnsi="Wingdings"/>
      </w:rPr>
    </w:lvl>
  </w:abstractNum>
  <w:abstractNum w:abstractNumId="4">
    <w:nsid w:val="D32D435D"/>
    <w:multiLevelType w:val="singleLevel"/>
    <w:tmpl w:val="D32D435D"/>
    <w:lvl w:ilvl="0" w:tentative="0">
      <w:start w:val="1"/>
      <w:numFmt w:val="bullet"/>
      <w:lvlText w:val=""/>
      <w:lvlJc w:val="left"/>
      <w:pPr>
        <w:ind w:left="420" w:hanging="420"/>
      </w:pPr>
      <w:rPr>
        <w:rFonts w:hint="default" w:ascii="Wingdings" w:hAnsi="Wingdings"/>
      </w:rPr>
    </w:lvl>
  </w:abstractNum>
  <w:abstractNum w:abstractNumId="5">
    <w:nsid w:val="3C251293"/>
    <w:multiLevelType w:val="multilevel"/>
    <w:tmpl w:val="3C251293"/>
    <w:lvl w:ilvl="0" w:tentative="0">
      <w:start w:val="1"/>
      <w:numFmt w:val="decimal"/>
      <w:lvlText w:val="4.3.%1"/>
      <w:lvlJc w:val="left"/>
      <w:pPr>
        <w:tabs>
          <w:tab w:val="left" w:pos="840"/>
        </w:tabs>
        <w:ind w:left="840" w:hanging="420"/>
      </w:pPr>
      <w:rPr>
        <w:rFonts w:hint="eastAsia"/>
        <w:b w:val="0"/>
      </w:rPr>
    </w:lvl>
    <w:lvl w:ilvl="1" w:tentative="0">
      <w:start w:val="1"/>
      <w:numFmt w:val="decimal"/>
      <w:lvlText w:val="5.%2"/>
      <w:lvlJc w:val="left"/>
      <w:pPr>
        <w:tabs>
          <w:tab w:val="left" w:pos="840"/>
        </w:tabs>
        <w:ind w:left="397" w:firstLine="23"/>
      </w:pPr>
      <w:rPr>
        <w:rFonts w:hint="eastAsia" w:ascii="宋体" w:eastAsia="宋体"/>
        <w:b w:val="0"/>
        <w:i w:val="0"/>
        <w:sz w:val="21"/>
      </w:rPr>
    </w:lvl>
    <w:lvl w:ilvl="2" w:tentative="0">
      <w:start w:val="1"/>
      <w:numFmt w:val="decimal"/>
      <w:lvlText w:val="6.%3"/>
      <w:lvlJc w:val="left"/>
      <w:pPr>
        <w:tabs>
          <w:tab w:val="left" w:pos="1260"/>
        </w:tabs>
        <w:ind w:left="817" w:firstLine="23"/>
      </w:pPr>
      <w:rPr>
        <w:rFonts w:hint="eastAsia" w:ascii="宋体" w:eastAsia="宋体"/>
        <w:b w:val="0"/>
        <w:i w:val="0"/>
        <w:sz w:val="21"/>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6821103"/>
    <w:multiLevelType w:val="singleLevel"/>
    <w:tmpl w:val="56821103"/>
    <w:lvl w:ilvl="0" w:tentative="0">
      <w:start w:val="1"/>
      <w:numFmt w:val="bullet"/>
      <w:lvlText w:val=""/>
      <w:lvlJc w:val="left"/>
      <w:pPr>
        <w:ind w:left="420" w:hanging="420"/>
      </w:pPr>
      <w:rPr>
        <w:rFonts w:hint="default" w:ascii="Wingdings" w:hAnsi="Wingdings"/>
      </w:rPr>
    </w:lvl>
  </w:abstractNum>
  <w:num w:numId="1">
    <w:abstractNumId w:val="6"/>
  </w:num>
  <w:num w:numId="2">
    <w:abstractNumId w:val="2"/>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ZjFmMjkyMmE5ZTYzNzc1ZjFjZjQyNDcwOGZiMWYifQ=="/>
    <w:docVar w:name="KSO_WPS_MARK_KEY" w:val="12119802-b04c-452a-be10-b3e55df2e841"/>
  </w:docVars>
  <w:rsids>
    <w:rsidRoot w:val="00A15A5D"/>
    <w:rsid w:val="00015FF6"/>
    <w:rsid w:val="00017AC3"/>
    <w:rsid w:val="00017C0A"/>
    <w:rsid w:val="00023B5E"/>
    <w:rsid w:val="00030031"/>
    <w:rsid w:val="00030854"/>
    <w:rsid w:val="00032435"/>
    <w:rsid w:val="0003647A"/>
    <w:rsid w:val="00041229"/>
    <w:rsid w:val="000433EB"/>
    <w:rsid w:val="00043673"/>
    <w:rsid w:val="00047EC4"/>
    <w:rsid w:val="00051F1D"/>
    <w:rsid w:val="00053097"/>
    <w:rsid w:val="0005339B"/>
    <w:rsid w:val="000647CA"/>
    <w:rsid w:val="00064BD5"/>
    <w:rsid w:val="00065075"/>
    <w:rsid w:val="00073506"/>
    <w:rsid w:val="000751DB"/>
    <w:rsid w:val="0008119C"/>
    <w:rsid w:val="00086835"/>
    <w:rsid w:val="000869DE"/>
    <w:rsid w:val="00087D9C"/>
    <w:rsid w:val="000900A2"/>
    <w:rsid w:val="00090E3C"/>
    <w:rsid w:val="000968B3"/>
    <w:rsid w:val="000A45D1"/>
    <w:rsid w:val="000B03A3"/>
    <w:rsid w:val="000B54BD"/>
    <w:rsid w:val="000B5DA6"/>
    <w:rsid w:val="000C5098"/>
    <w:rsid w:val="000D5487"/>
    <w:rsid w:val="000D7C09"/>
    <w:rsid w:val="000E3496"/>
    <w:rsid w:val="000E4413"/>
    <w:rsid w:val="000F1DE0"/>
    <w:rsid w:val="00111FF6"/>
    <w:rsid w:val="0011221B"/>
    <w:rsid w:val="0011425B"/>
    <w:rsid w:val="00122596"/>
    <w:rsid w:val="00123A02"/>
    <w:rsid w:val="00124B31"/>
    <w:rsid w:val="001255DF"/>
    <w:rsid w:val="00126350"/>
    <w:rsid w:val="0014403F"/>
    <w:rsid w:val="001469F8"/>
    <w:rsid w:val="00151953"/>
    <w:rsid w:val="0015418B"/>
    <w:rsid w:val="00174968"/>
    <w:rsid w:val="001760E3"/>
    <w:rsid w:val="0018114C"/>
    <w:rsid w:val="001827D5"/>
    <w:rsid w:val="001931FF"/>
    <w:rsid w:val="00195E3D"/>
    <w:rsid w:val="00196A46"/>
    <w:rsid w:val="001A601F"/>
    <w:rsid w:val="001B0FBF"/>
    <w:rsid w:val="001B1352"/>
    <w:rsid w:val="001B29C2"/>
    <w:rsid w:val="001C54AD"/>
    <w:rsid w:val="001C645A"/>
    <w:rsid w:val="001D12EB"/>
    <w:rsid w:val="001E3B73"/>
    <w:rsid w:val="001E53E0"/>
    <w:rsid w:val="001E5B6F"/>
    <w:rsid w:val="001F4D31"/>
    <w:rsid w:val="0020195B"/>
    <w:rsid w:val="002058B8"/>
    <w:rsid w:val="002071EA"/>
    <w:rsid w:val="00210956"/>
    <w:rsid w:val="0021156A"/>
    <w:rsid w:val="002253B9"/>
    <w:rsid w:val="0023399D"/>
    <w:rsid w:val="0023728C"/>
    <w:rsid w:val="00246F72"/>
    <w:rsid w:val="00252BC8"/>
    <w:rsid w:val="00254AE5"/>
    <w:rsid w:val="00256350"/>
    <w:rsid w:val="00266186"/>
    <w:rsid w:val="00272FE0"/>
    <w:rsid w:val="00285D2A"/>
    <w:rsid w:val="00285D69"/>
    <w:rsid w:val="00290616"/>
    <w:rsid w:val="00290D73"/>
    <w:rsid w:val="0029146A"/>
    <w:rsid w:val="002A47BD"/>
    <w:rsid w:val="002A6BFF"/>
    <w:rsid w:val="002A78BB"/>
    <w:rsid w:val="002B1287"/>
    <w:rsid w:val="002B1B61"/>
    <w:rsid w:val="002B232D"/>
    <w:rsid w:val="002B4602"/>
    <w:rsid w:val="002B6111"/>
    <w:rsid w:val="002C0E54"/>
    <w:rsid w:val="002D74DE"/>
    <w:rsid w:val="002D7AEC"/>
    <w:rsid w:val="002E3A53"/>
    <w:rsid w:val="002F59D4"/>
    <w:rsid w:val="002F61D2"/>
    <w:rsid w:val="002F659D"/>
    <w:rsid w:val="002F7B18"/>
    <w:rsid w:val="0031145F"/>
    <w:rsid w:val="00312380"/>
    <w:rsid w:val="0032488C"/>
    <w:rsid w:val="00325AE5"/>
    <w:rsid w:val="00333CA9"/>
    <w:rsid w:val="003371B1"/>
    <w:rsid w:val="00337DAB"/>
    <w:rsid w:val="003403E8"/>
    <w:rsid w:val="00344CB8"/>
    <w:rsid w:val="00352E8B"/>
    <w:rsid w:val="003608C5"/>
    <w:rsid w:val="00366F1B"/>
    <w:rsid w:val="0037739F"/>
    <w:rsid w:val="003800F6"/>
    <w:rsid w:val="00383332"/>
    <w:rsid w:val="0038610C"/>
    <w:rsid w:val="0038623D"/>
    <w:rsid w:val="00392B9D"/>
    <w:rsid w:val="003B0E8A"/>
    <w:rsid w:val="003B6FDE"/>
    <w:rsid w:val="003C022C"/>
    <w:rsid w:val="003C19B8"/>
    <w:rsid w:val="003C1C99"/>
    <w:rsid w:val="003C26B2"/>
    <w:rsid w:val="003C28E9"/>
    <w:rsid w:val="003D5137"/>
    <w:rsid w:val="003D6E84"/>
    <w:rsid w:val="003E117F"/>
    <w:rsid w:val="003E339C"/>
    <w:rsid w:val="003F0862"/>
    <w:rsid w:val="003F2531"/>
    <w:rsid w:val="00401DE2"/>
    <w:rsid w:val="00403112"/>
    <w:rsid w:val="00414343"/>
    <w:rsid w:val="004222AD"/>
    <w:rsid w:val="00423BA6"/>
    <w:rsid w:val="00434348"/>
    <w:rsid w:val="00435005"/>
    <w:rsid w:val="00436AE0"/>
    <w:rsid w:val="004373B6"/>
    <w:rsid w:val="00437A34"/>
    <w:rsid w:val="00442516"/>
    <w:rsid w:val="00446878"/>
    <w:rsid w:val="00451D57"/>
    <w:rsid w:val="00467A87"/>
    <w:rsid w:val="00470FF8"/>
    <w:rsid w:val="00471AA4"/>
    <w:rsid w:val="004868E5"/>
    <w:rsid w:val="00495DE9"/>
    <w:rsid w:val="00496916"/>
    <w:rsid w:val="004A4D88"/>
    <w:rsid w:val="004B40B5"/>
    <w:rsid w:val="004B56EB"/>
    <w:rsid w:val="004B5790"/>
    <w:rsid w:val="004C159E"/>
    <w:rsid w:val="004C3ABF"/>
    <w:rsid w:val="004C4AB4"/>
    <w:rsid w:val="004D1A93"/>
    <w:rsid w:val="004F0212"/>
    <w:rsid w:val="004F3378"/>
    <w:rsid w:val="005076E1"/>
    <w:rsid w:val="00510173"/>
    <w:rsid w:val="0052000B"/>
    <w:rsid w:val="005218B9"/>
    <w:rsid w:val="005242C9"/>
    <w:rsid w:val="00525E29"/>
    <w:rsid w:val="00525E2D"/>
    <w:rsid w:val="00541493"/>
    <w:rsid w:val="00556C2B"/>
    <w:rsid w:val="0056674C"/>
    <w:rsid w:val="00585038"/>
    <w:rsid w:val="00586812"/>
    <w:rsid w:val="00592F3B"/>
    <w:rsid w:val="00594867"/>
    <w:rsid w:val="0059663A"/>
    <w:rsid w:val="005968DD"/>
    <w:rsid w:val="00596979"/>
    <w:rsid w:val="005A66F2"/>
    <w:rsid w:val="005B05AD"/>
    <w:rsid w:val="005B2FE4"/>
    <w:rsid w:val="005B48FD"/>
    <w:rsid w:val="005B5E73"/>
    <w:rsid w:val="005C0D4E"/>
    <w:rsid w:val="005C2C7D"/>
    <w:rsid w:val="005C3ECC"/>
    <w:rsid w:val="005C4043"/>
    <w:rsid w:val="005C4F6D"/>
    <w:rsid w:val="005E1322"/>
    <w:rsid w:val="005E4ECE"/>
    <w:rsid w:val="005E4F3F"/>
    <w:rsid w:val="005E4FDD"/>
    <w:rsid w:val="005E662B"/>
    <w:rsid w:val="005F1F17"/>
    <w:rsid w:val="005F5D1E"/>
    <w:rsid w:val="00600C6D"/>
    <w:rsid w:val="006053D3"/>
    <w:rsid w:val="006053FE"/>
    <w:rsid w:val="00605447"/>
    <w:rsid w:val="00606EAA"/>
    <w:rsid w:val="00620C94"/>
    <w:rsid w:val="00620F5D"/>
    <w:rsid w:val="00621C60"/>
    <w:rsid w:val="00622CE4"/>
    <w:rsid w:val="00637C67"/>
    <w:rsid w:val="00640322"/>
    <w:rsid w:val="00642284"/>
    <w:rsid w:val="00660AEC"/>
    <w:rsid w:val="00667ED9"/>
    <w:rsid w:val="00670FBA"/>
    <w:rsid w:val="00671F20"/>
    <w:rsid w:val="00685E51"/>
    <w:rsid w:val="00686023"/>
    <w:rsid w:val="00696E24"/>
    <w:rsid w:val="006C39FA"/>
    <w:rsid w:val="006D3108"/>
    <w:rsid w:val="006D4C33"/>
    <w:rsid w:val="006D502E"/>
    <w:rsid w:val="006F0809"/>
    <w:rsid w:val="006F3FF1"/>
    <w:rsid w:val="006F7C2A"/>
    <w:rsid w:val="0070345A"/>
    <w:rsid w:val="00704739"/>
    <w:rsid w:val="007119E4"/>
    <w:rsid w:val="00735BB1"/>
    <w:rsid w:val="00735FF6"/>
    <w:rsid w:val="00740FCE"/>
    <w:rsid w:val="00741183"/>
    <w:rsid w:val="00745C60"/>
    <w:rsid w:val="00750729"/>
    <w:rsid w:val="00752945"/>
    <w:rsid w:val="00767ACF"/>
    <w:rsid w:val="0077204C"/>
    <w:rsid w:val="00772FB0"/>
    <w:rsid w:val="007801B6"/>
    <w:rsid w:val="0078054E"/>
    <w:rsid w:val="00786B14"/>
    <w:rsid w:val="00794044"/>
    <w:rsid w:val="007A3106"/>
    <w:rsid w:val="007A3934"/>
    <w:rsid w:val="007A3B31"/>
    <w:rsid w:val="007A6C57"/>
    <w:rsid w:val="007A7101"/>
    <w:rsid w:val="007B0625"/>
    <w:rsid w:val="007B6741"/>
    <w:rsid w:val="007E40A4"/>
    <w:rsid w:val="007F1F30"/>
    <w:rsid w:val="00800167"/>
    <w:rsid w:val="00814963"/>
    <w:rsid w:val="0082285E"/>
    <w:rsid w:val="008262D5"/>
    <w:rsid w:val="00827ACE"/>
    <w:rsid w:val="0083089E"/>
    <w:rsid w:val="00842F0A"/>
    <w:rsid w:val="00851E38"/>
    <w:rsid w:val="00857405"/>
    <w:rsid w:val="008704CA"/>
    <w:rsid w:val="00875999"/>
    <w:rsid w:val="008768C9"/>
    <w:rsid w:val="00882B52"/>
    <w:rsid w:val="008B0031"/>
    <w:rsid w:val="008C522D"/>
    <w:rsid w:val="008C7455"/>
    <w:rsid w:val="008D4405"/>
    <w:rsid w:val="008D676B"/>
    <w:rsid w:val="008D6EE1"/>
    <w:rsid w:val="008E6497"/>
    <w:rsid w:val="008E67ED"/>
    <w:rsid w:val="008F6195"/>
    <w:rsid w:val="00900842"/>
    <w:rsid w:val="0090626D"/>
    <w:rsid w:val="00910282"/>
    <w:rsid w:val="00920804"/>
    <w:rsid w:val="009241F6"/>
    <w:rsid w:val="00942E9E"/>
    <w:rsid w:val="0094301F"/>
    <w:rsid w:val="00954D36"/>
    <w:rsid w:val="00961C36"/>
    <w:rsid w:val="00964E7F"/>
    <w:rsid w:val="00965C4C"/>
    <w:rsid w:val="00966604"/>
    <w:rsid w:val="00971D4D"/>
    <w:rsid w:val="00973D19"/>
    <w:rsid w:val="00983D7C"/>
    <w:rsid w:val="00983FE3"/>
    <w:rsid w:val="009922CD"/>
    <w:rsid w:val="0099403E"/>
    <w:rsid w:val="00996351"/>
    <w:rsid w:val="009A2190"/>
    <w:rsid w:val="009B09EA"/>
    <w:rsid w:val="009B50DC"/>
    <w:rsid w:val="009B5D98"/>
    <w:rsid w:val="009C1A4B"/>
    <w:rsid w:val="009C2360"/>
    <w:rsid w:val="009D0F14"/>
    <w:rsid w:val="009D5071"/>
    <w:rsid w:val="009E4215"/>
    <w:rsid w:val="009F387C"/>
    <w:rsid w:val="009F47C3"/>
    <w:rsid w:val="00A0550B"/>
    <w:rsid w:val="00A10B4B"/>
    <w:rsid w:val="00A11A70"/>
    <w:rsid w:val="00A15A5D"/>
    <w:rsid w:val="00A1625F"/>
    <w:rsid w:val="00A17FD7"/>
    <w:rsid w:val="00A26640"/>
    <w:rsid w:val="00A402C3"/>
    <w:rsid w:val="00A42C3F"/>
    <w:rsid w:val="00A45F09"/>
    <w:rsid w:val="00A46368"/>
    <w:rsid w:val="00A47F73"/>
    <w:rsid w:val="00A50B09"/>
    <w:rsid w:val="00A5655C"/>
    <w:rsid w:val="00A625C4"/>
    <w:rsid w:val="00A73DC8"/>
    <w:rsid w:val="00AA7C54"/>
    <w:rsid w:val="00AB2A4D"/>
    <w:rsid w:val="00AB7F89"/>
    <w:rsid w:val="00AC3232"/>
    <w:rsid w:val="00AC7700"/>
    <w:rsid w:val="00AD0861"/>
    <w:rsid w:val="00AD4E20"/>
    <w:rsid w:val="00AD52C4"/>
    <w:rsid w:val="00AD76F0"/>
    <w:rsid w:val="00AE09CA"/>
    <w:rsid w:val="00AE647F"/>
    <w:rsid w:val="00AF20F2"/>
    <w:rsid w:val="00AF5383"/>
    <w:rsid w:val="00B065BB"/>
    <w:rsid w:val="00B074EC"/>
    <w:rsid w:val="00B16084"/>
    <w:rsid w:val="00B235A4"/>
    <w:rsid w:val="00B26E51"/>
    <w:rsid w:val="00B355DC"/>
    <w:rsid w:val="00B37F2C"/>
    <w:rsid w:val="00B41E20"/>
    <w:rsid w:val="00B433EB"/>
    <w:rsid w:val="00B81CE6"/>
    <w:rsid w:val="00BA0FA9"/>
    <w:rsid w:val="00BA6684"/>
    <w:rsid w:val="00BB0FD0"/>
    <w:rsid w:val="00BC2B00"/>
    <w:rsid w:val="00BD25CA"/>
    <w:rsid w:val="00BF057C"/>
    <w:rsid w:val="00BF7F04"/>
    <w:rsid w:val="00C00002"/>
    <w:rsid w:val="00C02867"/>
    <w:rsid w:val="00C137F0"/>
    <w:rsid w:val="00C1552C"/>
    <w:rsid w:val="00C16482"/>
    <w:rsid w:val="00C23B44"/>
    <w:rsid w:val="00C27BD6"/>
    <w:rsid w:val="00C3650E"/>
    <w:rsid w:val="00C41F76"/>
    <w:rsid w:val="00C5552D"/>
    <w:rsid w:val="00C562D9"/>
    <w:rsid w:val="00C56AF7"/>
    <w:rsid w:val="00C76E01"/>
    <w:rsid w:val="00C950DC"/>
    <w:rsid w:val="00C96A1A"/>
    <w:rsid w:val="00CA7147"/>
    <w:rsid w:val="00CB340A"/>
    <w:rsid w:val="00CB5F3F"/>
    <w:rsid w:val="00CC6283"/>
    <w:rsid w:val="00CD4836"/>
    <w:rsid w:val="00CE25D3"/>
    <w:rsid w:val="00CE5565"/>
    <w:rsid w:val="00CE5CFA"/>
    <w:rsid w:val="00CE6354"/>
    <w:rsid w:val="00CF1803"/>
    <w:rsid w:val="00CF651E"/>
    <w:rsid w:val="00CF7263"/>
    <w:rsid w:val="00D026FE"/>
    <w:rsid w:val="00D05B87"/>
    <w:rsid w:val="00D06C59"/>
    <w:rsid w:val="00D07218"/>
    <w:rsid w:val="00D278EE"/>
    <w:rsid w:val="00D3530F"/>
    <w:rsid w:val="00D354B2"/>
    <w:rsid w:val="00D356BB"/>
    <w:rsid w:val="00D44138"/>
    <w:rsid w:val="00D46FCA"/>
    <w:rsid w:val="00D508EE"/>
    <w:rsid w:val="00D55B05"/>
    <w:rsid w:val="00D56439"/>
    <w:rsid w:val="00D57ABB"/>
    <w:rsid w:val="00D668FE"/>
    <w:rsid w:val="00D67108"/>
    <w:rsid w:val="00D722EA"/>
    <w:rsid w:val="00D72B49"/>
    <w:rsid w:val="00D81E40"/>
    <w:rsid w:val="00D8765F"/>
    <w:rsid w:val="00D92F05"/>
    <w:rsid w:val="00D93DE2"/>
    <w:rsid w:val="00D94180"/>
    <w:rsid w:val="00D9516A"/>
    <w:rsid w:val="00DA3F9C"/>
    <w:rsid w:val="00DA5A4E"/>
    <w:rsid w:val="00DA64E0"/>
    <w:rsid w:val="00DB6747"/>
    <w:rsid w:val="00DD6B18"/>
    <w:rsid w:val="00DE1F96"/>
    <w:rsid w:val="00DF10CF"/>
    <w:rsid w:val="00E017BF"/>
    <w:rsid w:val="00E130F2"/>
    <w:rsid w:val="00E224E2"/>
    <w:rsid w:val="00E2737B"/>
    <w:rsid w:val="00E34BF0"/>
    <w:rsid w:val="00E474B3"/>
    <w:rsid w:val="00E5562E"/>
    <w:rsid w:val="00E56B8E"/>
    <w:rsid w:val="00E65FD5"/>
    <w:rsid w:val="00E721BA"/>
    <w:rsid w:val="00E80D15"/>
    <w:rsid w:val="00E81D0F"/>
    <w:rsid w:val="00E861B4"/>
    <w:rsid w:val="00E95F81"/>
    <w:rsid w:val="00EB6283"/>
    <w:rsid w:val="00EB7DFE"/>
    <w:rsid w:val="00ED600A"/>
    <w:rsid w:val="00EF160D"/>
    <w:rsid w:val="00EF6095"/>
    <w:rsid w:val="00F02C86"/>
    <w:rsid w:val="00F15653"/>
    <w:rsid w:val="00F25057"/>
    <w:rsid w:val="00F25C0B"/>
    <w:rsid w:val="00F30557"/>
    <w:rsid w:val="00F30691"/>
    <w:rsid w:val="00F31B00"/>
    <w:rsid w:val="00F367B4"/>
    <w:rsid w:val="00F44CCB"/>
    <w:rsid w:val="00F5487C"/>
    <w:rsid w:val="00F600D3"/>
    <w:rsid w:val="00F62902"/>
    <w:rsid w:val="00F62DAE"/>
    <w:rsid w:val="00F669DC"/>
    <w:rsid w:val="00F74F01"/>
    <w:rsid w:val="00F841C1"/>
    <w:rsid w:val="00F9506B"/>
    <w:rsid w:val="00FA06E0"/>
    <w:rsid w:val="00FB69E8"/>
    <w:rsid w:val="00FC0108"/>
    <w:rsid w:val="00FC1D29"/>
    <w:rsid w:val="00FC249A"/>
    <w:rsid w:val="00FF0D96"/>
    <w:rsid w:val="08890D00"/>
    <w:rsid w:val="09E2713C"/>
    <w:rsid w:val="105D4C86"/>
    <w:rsid w:val="119836EC"/>
    <w:rsid w:val="192634E2"/>
    <w:rsid w:val="1C980BEC"/>
    <w:rsid w:val="1EE25903"/>
    <w:rsid w:val="243954FA"/>
    <w:rsid w:val="2570334C"/>
    <w:rsid w:val="27F751B9"/>
    <w:rsid w:val="289C6917"/>
    <w:rsid w:val="385A2887"/>
    <w:rsid w:val="387B51FB"/>
    <w:rsid w:val="3A50695E"/>
    <w:rsid w:val="3CB72EA2"/>
    <w:rsid w:val="41BE30A4"/>
    <w:rsid w:val="42A861D3"/>
    <w:rsid w:val="465D1604"/>
    <w:rsid w:val="47087F93"/>
    <w:rsid w:val="501A3DA5"/>
    <w:rsid w:val="519F7D2D"/>
    <w:rsid w:val="585448A0"/>
    <w:rsid w:val="58C510B4"/>
    <w:rsid w:val="5CB85F43"/>
    <w:rsid w:val="687F1D93"/>
    <w:rsid w:val="6C0178F2"/>
    <w:rsid w:val="6D740585"/>
    <w:rsid w:val="71BB64AB"/>
    <w:rsid w:val="744D4AD6"/>
    <w:rsid w:val="7BC6228C"/>
    <w:rsid w:val="7E8C502E"/>
    <w:rsid w:val="7FBF72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3">
    <w:name w:val="heading 4"/>
    <w:basedOn w:val="4"/>
    <w:next w:val="1"/>
    <w:qFormat/>
    <w:uiPriority w:val="0"/>
    <w:pPr>
      <w:keepNext/>
      <w:keepLines/>
      <w:adjustRightInd w:val="0"/>
      <w:spacing w:before="280" w:after="290" w:line="376" w:lineRule="auto"/>
      <w:textAlignment w:val="baseline"/>
      <w:outlineLvl w:val="3"/>
    </w:pPr>
    <w:rPr>
      <w:rFonts w:ascii="Arial" w:hAnsi="Arial" w:eastAsia="黑体"/>
      <w:b/>
      <w:sz w:val="28"/>
      <w:szCs w:val="20"/>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4">
    <w:name w:val="00 正文"/>
    <w:basedOn w:val="1"/>
    <w:qFormat/>
    <w:uiPriority w:val="0"/>
    <w:pPr>
      <w:adjustRightInd w:val="0"/>
      <w:textAlignment w:val="baseline"/>
    </w:pPr>
    <w:rPr>
      <w:rFonts w:hAnsi="宋体"/>
      <w:bCs/>
      <w:kern w:val="2"/>
      <w:sz w:val="24"/>
    </w:rPr>
  </w:style>
  <w:style w:type="paragraph" w:styleId="5">
    <w:name w:val="Normal Indent"/>
    <w:basedOn w:val="1"/>
    <w:uiPriority w:val="0"/>
    <w:pPr>
      <w:ind w:firstLine="420"/>
    </w:pPr>
    <w:rPr>
      <w:sz w:val="28"/>
    </w:rPr>
  </w:style>
  <w:style w:type="paragraph" w:styleId="6">
    <w:name w:val="Body Text"/>
    <w:basedOn w:val="1"/>
    <w:next w:val="1"/>
    <w:qFormat/>
    <w:uiPriority w:val="0"/>
    <w:pPr>
      <w:widowControl w:val="0"/>
      <w:spacing w:line="480" w:lineRule="exact"/>
      <w:jc w:val="both"/>
    </w:pPr>
    <w:rPr>
      <w:rFonts w:ascii="宋体" w:hAnsi="宋体"/>
      <w:kern w:val="2"/>
      <w:sz w:val="28"/>
      <w:szCs w:val="24"/>
    </w:rPr>
  </w:style>
  <w:style w:type="paragraph" w:styleId="7">
    <w:name w:val="Block Text"/>
    <w:basedOn w:val="1"/>
    <w:qFormat/>
    <w:uiPriority w:val="0"/>
    <w:pPr>
      <w:snapToGrid w:val="0"/>
      <w:spacing w:line="480" w:lineRule="atLeast"/>
      <w:ind w:left="-240" w:right="-447" w:firstLine="570"/>
      <w:jc w:val="both"/>
    </w:pPr>
    <w:rPr>
      <w:sz w:val="28"/>
    </w:rPr>
  </w:style>
  <w:style w:type="paragraph" w:styleId="8">
    <w:name w:val="Plain Text"/>
    <w:basedOn w:val="1"/>
    <w:uiPriority w:val="0"/>
    <w:pPr>
      <w:adjustRightInd/>
      <w:spacing w:line="240" w:lineRule="auto"/>
      <w:jc w:val="both"/>
      <w:textAlignment w:val="auto"/>
    </w:pPr>
    <w:rPr>
      <w:rFonts w:ascii="宋体" w:hAnsi="Courier New"/>
      <w:kern w:val="2"/>
      <w:sz w:val="21"/>
    </w:rPr>
  </w:style>
  <w:style w:type="paragraph" w:styleId="9">
    <w:name w:val="footer"/>
    <w:basedOn w:val="1"/>
    <w:uiPriority w:val="0"/>
    <w:pPr>
      <w:tabs>
        <w:tab w:val="center" w:pos="4153"/>
        <w:tab w:val="right" w:pos="8306"/>
      </w:tabs>
      <w:snapToGrid w:val="0"/>
      <w:spacing w:line="240" w:lineRule="atLeast"/>
    </w:pPr>
    <w:rPr>
      <w:sz w:val="18"/>
      <w:szCs w:val="18"/>
    </w:rPr>
  </w:style>
  <w:style w:type="paragraph" w:styleId="10">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BodyText"/>
    <w:basedOn w:val="1"/>
    <w:qFormat/>
    <w:uiPriority w:val="0"/>
    <w:pPr>
      <w:spacing w:after="120" w:line="240" w:lineRule="auto"/>
    </w:pPr>
    <w:rPr>
      <w:rFonts w:ascii="Calibri" w:hAnsi="Calibri" w:eastAsia="宋体"/>
      <w:color w:val="auto"/>
      <w:kern w:val="2"/>
      <w:sz w:val="21"/>
      <w:szCs w:val="24"/>
      <w:lang w:val="en-US" w:eastAsia="zh-CN" w:bidi="ar-SA"/>
    </w:rPr>
  </w:style>
  <w:style w:type="paragraph" w:customStyle="1" w:styleId="18">
    <w:name w:val=" Char"/>
    <w:basedOn w:val="1"/>
    <w:qFormat/>
    <w:uiPriority w:val="0"/>
    <w:rPr>
      <w:rFonts w:ascii="Tahoma" w:hAnsi="Tahoma"/>
    </w:rPr>
  </w:style>
  <w:style w:type="paragraph" w:customStyle="1" w:styleId="19">
    <w:name w:val=" Char Char Char1 Char Char Char Char Char Char Char Char Char Char"/>
    <w:basedOn w:val="1"/>
    <w:qFormat/>
    <w:uiPriority w:val="0"/>
    <w:rPr>
      <w:rFonts w:ascii="Tahoma" w:hAnsi="Tahoma"/>
    </w:rPr>
  </w:style>
  <w:style w:type="paragraph" w:customStyle="1" w:styleId="20">
    <w:name w:val=" Char Char Char1 Char Char Char3 Char Char Char Char"/>
    <w:basedOn w:val="1"/>
    <w:qFormat/>
    <w:uiPriority w:val="0"/>
    <w:rPr>
      <w:rFonts w:ascii="Tahoma" w:hAnsi="Tahoma"/>
    </w:rPr>
  </w:style>
  <w:style w:type="paragraph" w:customStyle="1" w:styleId="21">
    <w:name w:val="_Style 8"/>
    <w:basedOn w:val="1"/>
    <w:qFormat/>
    <w:uiPriority w:val="0"/>
    <w:rPr>
      <w:rFonts w:ascii="Tahoma" w:hAnsi="Tahoma"/>
    </w:rPr>
  </w:style>
  <w:style w:type="paragraph" w:customStyle="1" w:styleId="22">
    <w:name w:val="列出段落"/>
    <w:basedOn w:val="1"/>
    <w:qFormat/>
    <w:uiPriority w:val="0"/>
    <w:pPr>
      <w:ind w:firstLine="420" w:firstLineChars="200"/>
    </w:pPr>
    <w:rPr>
      <w:rFonts w:ascii="Calibri" w:hAnsi="Calibri"/>
      <w:szCs w:val="22"/>
    </w:rPr>
  </w:style>
  <w:style w:type="paragraph" w:customStyle="1" w:styleId="23">
    <w:name w:val="样式5"/>
    <w:basedOn w:val="1"/>
    <w:qFormat/>
    <w:uiPriority w:val="0"/>
    <w:pPr>
      <w:jc w:val="left"/>
      <w:outlineLvl w:val="1"/>
    </w:pPr>
    <w:rPr>
      <w:b/>
      <w:bCs/>
      <w:kern w:val="2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wisdri</Company>
  <Pages>6</Pages>
  <Words>2474</Words>
  <Characters>2862</Characters>
  <Lines>11</Lines>
  <Paragraphs>3</Paragraphs>
  <TotalTime>2</TotalTime>
  <ScaleCrop>false</ScaleCrop>
  <LinksUpToDate>false</LinksUpToDate>
  <CharactersWithSpaces>3005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2011-09-02T01:24:00Z</dcterms:created>
  <dc:creator>1</dc:creator>
  <cp:lastModifiedBy>周清</cp:lastModifiedBy>
  <cp:lastPrinted>2010-06-13T03:59:00Z</cp:lastPrinted>
  <dcterms:modified xsi:type="dcterms:W3CDTF">2026-06-24T11:38:15Z</dcterms:modified>
  <dc:title>武钢新3号高炉铜冷却壁招标书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0BBB75D148794D46BA3C42C32BD99DB7_13</vt:lpwstr>
  </property>
  <property fmtid="{D5CDD505-2E9C-101B-9397-08002B2CF9AE}" pid="4" name="KSOTemplateDocerSaveRecord">
    <vt:lpwstr>eyJoZGlkIjoiZjRiOWJiYzY4YTA0YWNkMGUwMWMxYTAyOGVhM2Q3ZjUiLCJ1c2VySWQiOiIxNDg5MzAwMzgxIn0=</vt:lpwstr>
  </property>
</Properties>
</file>