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4CE482">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360" w:lineRule="auto"/>
        <w:ind w:right="0" w:rightChars="0"/>
        <w:jc w:val="right"/>
        <w:textAlignment w:val="baseline"/>
        <w:rPr>
          <w:rFonts w:hint="default" w:ascii="Arial" w:eastAsia="宋体" w:cs="Arial"/>
          <w:b w:val="0"/>
          <w:bCs/>
          <w:sz w:val="24"/>
          <w:szCs w:val="24"/>
          <w:lang w:val="en-US" w:eastAsia="zh-CN"/>
        </w:rPr>
      </w:pPr>
      <w:r>
        <w:rPr>
          <w:rFonts w:hint="eastAsia" w:ascii="Arial" w:cs="Arial"/>
          <w:b w:val="0"/>
          <w:bCs/>
          <w:sz w:val="24"/>
          <w:szCs w:val="24"/>
          <w:lang w:val="en-US" w:eastAsia="zh-CN"/>
        </w:rPr>
        <w:t xml:space="preserve">合同编号：             </w:t>
      </w:r>
    </w:p>
    <w:p w14:paraId="7C42BA6E">
      <w:pPr>
        <w:keepNext w:val="0"/>
        <w:keepLines w:val="0"/>
        <w:pageBreakBefore w:val="0"/>
        <w:kinsoku/>
        <w:wordWrap/>
        <w:overflowPunct/>
        <w:topLinePunct w:val="0"/>
        <w:autoSpaceDE/>
        <w:autoSpaceDN/>
        <w:bidi w:val="0"/>
        <w:snapToGrid w:val="0"/>
        <w:spacing w:line="360" w:lineRule="auto"/>
        <w:ind w:right="2" w:rightChars="1" w:firstLine="0" w:firstLineChars="0"/>
        <w:jc w:val="center"/>
        <w:rPr>
          <w:rFonts w:hint="eastAsia" w:ascii="Arial" w:cs="Arial"/>
          <w:b/>
          <w:sz w:val="32"/>
          <w:szCs w:val="32"/>
        </w:rPr>
      </w:pPr>
    </w:p>
    <w:p w14:paraId="7C407C56">
      <w:pPr>
        <w:keepNext w:val="0"/>
        <w:keepLines w:val="0"/>
        <w:pageBreakBefore w:val="0"/>
        <w:kinsoku/>
        <w:wordWrap/>
        <w:overflowPunct/>
        <w:topLinePunct w:val="0"/>
        <w:autoSpaceDE/>
        <w:autoSpaceDN/>
        <w:bidi w:val="0"/>
        <w:snapToGrid w:val="0"/>
        <w:spacing w:line="360" w:lineRule="auto"/>
        <w:ind w:right="2" w:rightChars="1" w:firstLine="0" w:firstLineChars="0"/>
        <w:jc w:val="center"/>
        <w:rPr>
          <w:rFonts w:hint="eastAsia" w:ascii="Arial" w:cs="Arial"/>
          <w:b/>
          <w:sz w:val="32"/>
          <w:szCs w:val="32"/>
        </w:rPr>
      </w:pPr>
    </w:p>
    <w:p w14:paraId="50B796BD">
      <w:pPr>
        <w:keepNext w:val="0"/>
        <w:keepLines w:val="0"/>
        <w:pageBreakBefore w:val="0"/>
        <w:kinsoku/>
        <w:wordWrap/>
        <w:overflowPunct/>
        <w:topLinePunct w:val="0"/>
        <w:autoSpaceDE/>
        <w:autoSpaceDN/>
        <w:bidi w:val="0"/>
        <w:snapToGrid w:val="0"/>
        <w:spacing w:line="360" w:lineRule="auto"/>
        <w:ind w:right="2" w:rightChars="1" w:firstLine="0" w:firstLineChars="0"/>
        <w:jc w:val="center"/>
        <w:rPr>
          <w:rFonts w:hint="eastAsia" w:ascii="华文中宋" w:hAnsi="华文中宋" w:eastAsia="华文中宋" w:cs="华文中宋"/>
          <w:b/>
          <w:sz w:val="44"/>
          <w:szCs w:val="44"/>
          <w:lang w:eastAsia="zh-CN"/>
        </w:rPr>
      </w:pPr>
      <w:r>
        <w:rPr>
          <w:rFonts w:hint="eastAsia" w:ascii="华文中宋" w:hAnsi="华文中宋" w:eastAsia="华文中宋" w:cs="华文中宋"/>
          <w:b/>
          <w:sz w:val="44"/>
          <w:szCs w:val="44"/>
          <w:lang w:eastAsia="zh-CN"/>
        </w:rPr>
        <w:t>甘肃</w:t>
      </w:r>
      <w:r>
        <w:rPr>
          <w:rFonts w:hint="eastAsia" w:ascii="华文中宋" w:hAnsi="华文中宋" w:eastAsia="华文中宋" w:cs="华文中宋"/>
          <w:b/>
          <w:sz w:val="44"/>
          <w:szCs w:val="44"/>
        </w:rPr>
        <w:t>酒钢集团宏兴</w:t>
      </w:r>
      <w:r>
        <w:rPr>
          <w:rFonts w:hint="eastAsia" w:ascii="华文中宋" w:hAnsi="华文中宋" w:eastAsia="华文中宋" w:cs="华文中宋"/>
          <w:b/>
          <w:sz w:val="44"/>
          <w:szCs w:val="44"/>
          <w:lang w:eastAsia="zh-CN"/>
        </w:rPr>
        <w:t>钢铁</w:t>
      </w:r>
      <w:r>
        <w:rPr>
          <w:rFonts w:hint="eastAsia" w:ascii="华文中宋" w:hAnsi="华文中宋" w:eastAsia="华文中宋" w:cs="华文中宋"/>
          <w:b/>
          <w:sz w:val="44"/>
          <w:szCs w:val="44"/>
        </w:rPr>
        <w:t>股份</w:t>
      </w:r>
      <w:r>
        <w:rPr>
          <w:rFonts w:hint="eastAsia" w:ascii="华文中宋" w:hAnsi="华文中宋" w:eastAsia="华文中宋" w:cs="华文中宋"/>
          <w:b/>
          <w:sz w:val="44"/>
          <w:szCs w:val="44"/>
          <w:lang w:eastAsia="zh-CN"/>
        </w:rPr>
        <w:t>有限</w:t>
      </w:r>
      <w:r>
        <w:rPr>
          <w:rFonts w:hint="eastAsia" w:ascii="华文中宋" w:hAnsi="华文中宋" w:eastAsia="华文中宋" w:cs="华文中宋"/>
          <w:b/>
          <w:sz w:val="44"/>
          <w:szCs w:val="44"/>
        </w:rPr>
        <w:t>公司</w:t>
      </w:r>
    </w:p>
    <w:p w14:paraId="3B54E42A">
      <w:pPr>
        <w:keepNext w:val="0"/>
        <w:keepLines w:val="0"/>
        <w:pageBreakBefore w:val="0"/>
        <w:kinsoku/>
        <w:wordWrap/>
        <w:overflowPunct/>
        <w:topLinePunct w:val="0"/>
        <w:autoSpaceDE/>
        <w:autoSpaceDN/>
        <w:bidi w:val="0"/>
        <w:snapToGrid w:val="0"/>
        <w:spacing w:line="360" w:lineRule="auto"/>
        <w:ind w:right="-447" w:firstLine="0" w:firstLineChars="0"/>
        <w:jc w:val="center"/>
        <w:rPr>
          <w:rFonts w:hint="eastAsia" w:ascii="宋体" w:hAnsi="宋体"/>
          <w:b/>
          <w:sz w:val="36"/>
          <w:szCs w:val="48"/>
        </w:rPr>
      </w:pPr>
    </w:p>
    <w:p w14:paraId="5AA010A0">
      <w:pPr>
        <w:keepNext w:val="0"/>
        <w:keepLines w:val="0"/>
        <w:pageBreakBefore w:val="0"/>
        <w:kinsoku/>
        <w:wordWrap/>
        <w:overflowPunct/>
        <w:topLinePunct w:val="0"/>
        <w:autoSpaceDE/>
        <w:autoSpaceDN/>
        <w:bidi w:val="0"/>
        <w:adjustRightInd/>
        <w:spacing w:line="360" w:lineRule="auto"/>
        <w:ind w:firstLine="0" w:firstLineChars="0"/>
        <w:jc w:val="center"/>
        <w:textAlignment w:val="auto"/>
        <w:rPr>
          <w:rFonts w:hint="default" w:ascii="华文中宋" w:hAnsi="华文中宋" w:eastAsia="华文中宋" w:cs="华文中宋"/>
          <w:b/>
          <w:sz w:val="44"/>
          <w:szCs w:val="44"/>
          <w:lang w:val="en-US" w:eastAsia="zh-CN"/>
        </w:rPr>
      </w:pPr>
      <w:r>
        <w:rPr>
          <w:rFonts w:hint="eastAsia" w:ascii="华文中宋" w:hAnsi="华文中宋" w:eastAsia="华文中宋" w:cs="华文中宋"/>
          <w:b/>
          <w:sz w:val="44"/>
          <w:szCs w:val="44"/>
          <w:lang w:val="en-US" w:eastAsia="zh-CN"/>
        </w:rPr>
        <w:t>宏博新材料公司二高线1080剪总成采购</w:t>
      </w:r>
    </w:p>
    <w:p w14:paraId="2416BD67">
      <w:pPr>
        <w:keepNext w:val="0"/>
        <w:keepLines w:val="0"/>
        <w:pageBreakBefore w:val="0"/>
        <w:kinsoku/>
        <w:wordWrap/>
        <w:overflowPunct/>
        <w:topLinePunct w:val="0"/>
        <w:autoSpaceDE/>
        <w:autoSpaceDN/>
        <w:bidi w:val="0"/>
        <w:adjustRightInd/>
        <w:spacing w:line="360" w:lineRule="auto"/>
        <w:ind w:firstLine="0" w:firstLineChars="0"/>
        <w:jc w:val="center"/>
        <w:textAlignment w:val="auto"/>
        <w:rPr>
          <w:rFonts w:hint="eastAsia" w:ascii="华文中宋" w:hAnsi="华文中宋" w:eastAsia="华文中宋" w:cs="华文中宋"/>
          <w:b/>
          <w:sz w:val="44"/>
          <w:szCs w:val="44"/>
        </w:rPr>
      </w:pPr>
    </w:p>
    <w:p w14:paraId="32084986">
      <w:pPr>
        <w:keepNext w:val="0"/>
        <w:keepLines w:val="0"/>
        <w:pageBreakBefore w:val="0"/>
        <w:kinsoku/>
        <w:wordWrap/>
        <w:overflowPunct/>
        <w:topLinePunct w:val="0"/>
        <w:autoSpaceDE/>
        <w:autoSpaceDN/>
        <w:bidi w:val="0"/>
        <w:adjustRightInd/>
        <w:spacing w:line="360" w:lineRule="auto"/>
        <w:ind w:firstLine="0" w:firstLineChars="0"/>
        <w:jc w:val="center"/>
        <w:textAlignment w:val="auto"/>
        <w:rPr>
          <w:rFonts w:hint="eastAsia" w:ascii="华文中宋" w:hAnsi="华文中宋" w:eastAsia="华文中宋" w:cs="华文中宋"/>
          <w:b/>
          <w:sz w:val="44"/>
          <w:szCs w:val="44"/>
          <w:lang w:eastAsia="zh-CN"/>
        </w:rPr>
      </w:pPr>
      <w:r>
        <w:rPr>
          <w:rFonts w:hint="eastAsia" w:ascii="华文中宋" w:hAnsi="华文中宋" w:eastAsia="华文中宋" w:cs="华文中宋"/>
          <w:b/>
          <w:sz w:val="44"/>
          <w:szCs w:val="44"/>
        </w:rPr>
        <w:t>技术</w:t>
      </w:r>
      <w:r>
        <w:rPr>
          <w:rFonts w:hint="eastAsia" w:ascii="华文中宋" w:hAnsi="华文中宋" w:eastAsia="华文中宋" w:cs="华文中宋"/>
          <w:b/>
          <w:sz w:val="44"/>
          <w:szCs w:val="44"/>
          <w:lang w:eastAsia="zh-CN"/>
        </w:rPr>
        <w:t>规格书</w:t>
      </w:r>
    </w:p>
    <w:p w14:paraId="56AB4FD7">
      <w:pPr>
        <w:keepNext w:val="0"/>
        <w:keepLines w:val="0"/>
        <w:pageBreakBefore w:val="0"/>
        <w:kinsoku/>
        <w:wordWrap/>
        <w:overflowPunct/>
        <w:topLinePunct w:val="0"/>
        <w:autoSpaceDE/>
        <w:autoSpaceDN/>
        <w:bidi w:val="0"/>
        <w:adjustRightInd/>
        <w:spacing w:line="360" w:lineRule="auto"/>
        <w:ind w:firstLine="0" w:firstLineChars="0"/>
        <w:jc w:val="center"/>
        <w:textAlignment w:val="auto"/>
        <w:rPr>
          <w:rFonts w:hint="eastAsia" w:ascii="Arial" w:cs="Arial"/>
          <w:b/>
          <w:bCs/>
          <w:kern w:val="2"/>
          <w:sz w:val="84"/>
          <w:szCs w:val="24"/>
        </w:rPr>
      </w:pPr>
    </w:p>
    <w:p w14:paraId="1EFCD1C2">
      <w:pPr>
        <w:keepNext w:val="0"/>
        <w:keepLines w:val="0"/>
        <w:pageBreakBefore w:val="0"/>
        <w:kinsoku/>
        <w:wordWrap/>
        <w:overflowPunct/>
        <w:topLinePunct w:val="0"/>
        <w:autoSpaceDE/>
        <w:autoSpaceDN/>
        <w:bidi w:val="0"/>
        <w:adjustRightInd/>
        <w:spacing w:line="360" w:lineRule="auto"/>
        <w:ind w:firstLine="0" w:firstLineChars="0"/>
        <w:jc w:val="center"/>
        <w:textAlignment w:val="auto"/>
        <w:rPr>
          <w:rFonts w:hint="eastAsia" w:ascii="Arial" w:cs="Arial"/>
          <w:b/>
          <w:bCs/>
          <w:kern w:val="2"/>
          <w:sz w:val="84"/>
          <w:szCs w:val="24"/>
        </w:rPr>
      </w:pPr>
    </w:p>
    <w:p w14:paraId="75A68689">
      <w:pPr>
        <w:keepNext w:val="0"/>
        <w:keepLines w:val="0"/>
        <w:pageBreakBefore w:val="0"/>
        <w:kinsoku/>
        <w:wordWrap/>
        <w:overflowPunct/>
        <w:topLinePunct w:val="0"/>
        <w:autoSpaceDE/>
        <w:autoSpaceDN/>
        <w:bidi w:val="0"/>
        <w:snapToGrid w:val="0"/>
        <w:spacing w:line="360" w:lineRule="auto"/>
        <w:ind w:right="2" w:rightChars="1" w:firstLine="0" w:firstLineChars="0"/>
        <w:jc w:val="center"/>
        <w:rPr>
          <w:rFonts w:hint="eastAsia" w:ascii="华文中宋" w:hAnsi="华文中宋" w:eastAsia="华文中宋" w:cs="华文中宋"/>
          <w:b/>
          <w:sz w:val="32"/>
        </w:rPr>
      </w:pPr>
    </w:p>
    <w:p w14:paraId="136053E0">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1200" w:leftChars="500" w:right="0" w:rightChars="0" w:firstLine="0" w:firstLineChars="0"/>
        <w:jc w:val="both"/>
        <w:textAlignment w:val="baseline"/>
        <w:rPr>
          <w:rFonts w:hint="eastAsia" w:ascii="华文中宋" w:hAnsi="华文中宋" w:eastAsia="华文中宋" w:cs="华文中宋"/>
          <w:b/>
          <w:sz w:val="32"/>
          <w:szCs w:val="22"/>
          <w:lang w:val="en-US" w:eastAsia="zh-CN"/>
        </w:rPr>
      </w:pPr>
      <w:r>
        <w:rPr>
          <w:rFonts w:hint="eastAsia" w:ascii="华文中宋" w:hAnsi="华文中宋" w:eastAsia="华文中宋" w:cs="华文中宋"/>
          <w:b/>
          <w:sz w:val="32"/>
          <w:szCs w:val="22"/>
        </w:rPr>
        <w:t>甲方：</w:t>
      </w:r>
      <w:r>
        <w:rPr>
          <w:rFonts w:hint="eastAsia" w:ascii="华文中宋" w:hAnsi="华文中宋" w:eastAsia="华文中宋" w:cs="华文中宋"/>
          <w:b/>
          <w:sz w:val="32"/>
          <w:szCs w:val="22"/>
          <w:lang w:eastAsia="zh-CN"/>
        </w:rPr>
        <w:t>甘肃</w:t>
      </w:r>
      <w:r>
        <w:rPr>
          <w:rFonts w:hint="eastAsia" w:ascii="华文中宋" w:hAnsi="华文中宋" w:eastAsia="华文中宋" w:cs="华文中宋"/>
          <w:b/>
          <w:sz w:val="32"/>
          <w:szCs w:val="22"/>
        </w:rPr>
        <w:t>酒钢集团宏兴</w:t>
      </w:r>
      <w:r>
        <w:rPr>
          <w:rFonts w:hint="eastAsia" w:ascii="华文中宋" w:hAnsi="华文中宋" w:eastAsia="华文中宋" w:cs="华文中宋"/>
          <w:b/>
          <w:sz w:val="32"/>
          <w:szCs w:val="22"/>
          <w:lang w:val="en-US" w:eastAsia="zh-CN"/>
        </w:rPr>
        <w:t>宏博新材料有限责任公司</w:t>
      </w:r>
    </w:p>
    <w:p w14:paraId="751414A5">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1200" w:leftChars="500" w:right="0" w:rightChars="0" w:firstLine="0" w:firstLineChars="0"/>
        <w:jc w:val="both"/>
        <w:textAlignment w:val="baseline"/>
        <w:rPr>
          <w:rFonts w:hint="eastAsia" w:ascii="华文中宋" w:hAnsi="华文中宋" w:eastAsia="华文中宋" w:cs="华文中宋"/>
          <w:b/>
          <w:sz w:val="32"/>
          <w:lang w:val="sq-AL"/>
        </w:rPr>
      </w:pPr>
      <w:r>
        <w:rPr>
          <w:rFonts w:hint="eastAsia" w:ascii="华文中宋" w:hAnsi="华文中宋" w:eastAsia="华文中宋" w:cs="华文中宋"/>
          <w:b/>
          <w:sz w:val="32"/>
        </w:rPr>
        <w:t>乙方：</w:t>
      </w:r>
    </w:p>
    <w:p w14:paraId="45CB08E8">
      <w:pPr>
        <w:keepNext w:val="0"/>
        <w:keepLines w:val="0"/>
        <w:pageBreakBefore w:val="0"/>
        <w:kinsoku/>
        <w:wordWrap/>
        <w:overflowPunct/>
        <w:topLinePunct w:val="0"/>
        <w:autoSpaceDE/>
        <w:autoSpaceDN/>
        <w:bidi w:val="0"/>
        <w:spacing w:line="360" w:lineRule="auto"/>
        <w:ind w:left="0" w:leftChars="0" w:firstLine="0" w:firstLineChars="0"/>
        <w:rPr>
          <w:rFonts w:hint="eastAsia" w:ascii="宋体" w:hAnsi="宋体"/>
          <w:sz w:val="21"/>
          <w:szCs w:val="21"/>
        </w:rPr>
      </w:pPr>
    </w:p>
    <w:p w14:paraId="2D84B83C">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before="0" w:beforeAutospacing="0" w:after="0" w:afterAutospacing="0" w:line="360" w:lineRule="auto"/>
        <w:ind w:leftChars="0" w:firstLine="420" w:firstLineChars="200"/>
        <w:jc w:val="both"/>
        <w:textAlignment w:val="auto"/>
        <w:rPr>
          <w:rFonts w:hint="eastAsia" w:ascii="宋体" w:hAnsi="宋体" w:eastAsia="宋体" w:cs="宋体"/>
          <w:sz w:val="21"/>
          <w:szCs w:val="21"/>
        </w:rPr>
      </w:pPr>
    </w:p>
    <w:p w14:paraId="50475F56">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before="0" w:beforeAutospacing="0" w:after="0" w:afterAutospacing="0" w:line="360" w:lineRule="auto"/>
        <w:ind w:lef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甘肃酒钢集团宏兴</w:t>
      </w:r>
      <w:r>
        <w:rPr>
          <w:rFonts w:hint="eastAsia" w:ascii="宋体" w:hAnsi="宋体" w:cs="宋体"/>
          <w:sz w:val="21"/>
          <w:szCs w:val="21"/>
          <w:lang w:eastAsia="zh-CN"/>
        </w:rPr>
        <w:t>宏博新材料有限责任</w:t>
      </w:r>
      <w:r>
        <w:rPr>
          <w:rFonts w:hint="eastAsia" w:ascii="宋体" w:hAnsi="宋体" w:eastAsia="宋体" w:cs="宋体"/>
          <w:sz w:val="21"/>
          <w:szCs w:val="21"/>
        </w:rPr>
        <w:t>公司（以下称甲方）与</w:t>
      </w: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（以下称乙方）就甲方</w:t>
      </w:r>
      <w:r>
        <w:rPr>
          <w:rFonts w:hint="eastAsia" w:ascii="宋体" w:hAnsi="宋体" w:eastAsia="宋体" w:cs="宋体"/>
          <w:sz w:val="21"/>
          <w:szCs w:val="21"/>
          <w:u w:val="single"/>
          <w:lang w:val="en-US" w:eastAsia="zh-CN"/>
        </w:rPr>
        <w:t xml:space="preserve"> 宏博新材料公司二高线1080剪总成采购 </w:t>
      </w:r>
      <w:r>
        <w:rPr>
          <w:rFonts w:hint="eastAsia" w:ascii="宋体" w:hAnsi="宋体" w:eastAsia="宋体" w:cs="宋体"/>
          <w:sz w:val="21"/>
          <w:szCs w:val="21"/>
        </w:rPr>
        <w:t>经双方协商，达成如下</w:t>
      </w:r>
      <w:r>
        <w:rPr>
          <w:rFonts w:hint="eastAsia" w:ascii="宋体" w:hAnsi="宋体" w:cs="宋体"/>
          <w:sz w:val="21"/>
          <w:szCs w:val="21"/>
          <w:lang w:eastAsia="zh-CN"/>
        </w:rPr>
        <w:t>技术规格书</w:t>
      </w:r>
      <w:r>
        <w:rPr>
          <w:rFonts w:hint="eastAsia" w:ascii="宋体" w:hAnsi="宋体" w:eastAsia="宋体" w:cs="宋体"/>
          <w:sz w:val="21"/>
          <w:szCs w:val="21"/>
        </w:rPr>
        <w:t>：</w:t>
      </w:r>
    </w:p>
    <w:p w14:paraId="6555EBFA">
      <w:pPr>
        <w:pStyle w:val="4"/>
        <w:keepNext/>
        <w:keepLines/>
        <w:pageBreakBefore w:val="0"/>
        <w:widowControl w:val="0"/>
        <w:kinsoku/>
        <w:wordWrap/>
        <w:overflowPunct/>
        <w:topLinePunct w:val="0"/>
        <w:autoSpaceDE/>
        <w:autoSpaceDN/>
        <w:bidi w:val="0"/>
        <w:adjustRightInd w:val="0"/>
        <w:snapToGrid/>
        <w:spacing w:before="0" w:after="0" w:line="360" w:lineRule="auto"/>
        <w:ind w:left="0" w:leftChars="0" w:firstLine="0" w:firstLineChars="0"/>
        <w:textAlignment w:val="baseline"/>
        <w:rPr>
          <w:rFonts w:hint="eastAsia"/>
          <w:sz w:val="24"/>
          <w:szCs w:val="24"/>
          <w:lang w:val="en-US" w:eastAsia="zh-CN"/>
        </w:rPr>
      </w:pPr>
      <w:r>
        <w:rPr>
          <w:rFonts w:hint="eastAsia"/>
          <w:sz w:val="24"/>
          <w:szCs w:val="24"/>
          <w:lang w:val="en-US" w:eastAsia="zh-CN"/>
        </w:rPr>
        <w:t xml:space="preserve"> 总则</w:t>
      </w:r>
    </w:p>
    <w:p w14:paraId="1E160418">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0" w:leftChars="0" w:firstLine="0" w:firstLineChars="0"/>
        <w:jc w:val="both"/>
        <w:textAlignment w:val="auto"/>
        <w:rPr>
          <w:rFonts w:hint="eastAsia" w:ascii="宋体" w:hAnsi="宋体" w:eastAsia="宋体" w:cs="宋体"/>
          <w:sz w:val="21"/>
          <w:szCs w:val="21"/>
          <w:lang w:val="en-GB" w:eastAsia="zh-CN"/>
        </w:rPr>
      </w:pPr>
      <w:r>
        <w:rPr>
          <w:rFonts w:hint="eastAsia" w:ascii="宋体" w:hAnsi="宋体" w:eastAsia="宋体" w:cs="宋体"/>
          <w:sz w:val="21"/>
          <w:szCs w:val="21"/>
          <w:lang w:val="en-GB" w:eastAsia="zh-CN"/>
        </w:rPr>
        <w:t>本</w:t>
      </w:r>
      <w:r>
        <w:rPr>
          <w:rFonts w:hint="eastAsia" w:ascii="宋体" w:hAnsi="宋体" w:cs="宋体"/>
          <w:sz w:val="21"/>
          <w:szCs w:val="21"/>
          <w:lang w:val="en-GB" w:eastAsia="zh-CN"/>
        </w:rPr>
        <w:t>技术规格书</w:t>
      </w:r>
      <w:r>
        <w:rPr>
          <w:rFonts w:hint="eastAsia" w:ascii="宋体" w:hAnsi="宋体" w:eastAsia="宋体" w:cs="宋体"/>
          <w:sz w:val="21"/>
          <w:szCs w:val="21"/>
          <w:lang w:val="en-GB" w:eastAsia="zh-CN"/>
        </w:rPr>
        <w:t>作为甲方设备订货协议的附件，与订货合同同时生效，具有同等法律效力。</w:t>
      </w:r>
    </w:p>
    <w:p w14:paraId="27745B65">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0" w:leftChars="0" w:firstLine="0" w:firstLineChars="0"/>
        <w:jc w:val="both"/>
        <w:textAlignment w:val="auto"/>
        <w:rPr>
          <w:rFonts w:hint="eastAsia" w:ascii="宋体" w:hAnsi="宋体" w:eastAsia="宋体" w:cs="宋体"/>
          <w:sz w:val="21"/>
          <w:szCs w:val="21"/>
          <w:lang w:val="en-GB" w:eastAsia="zh-CN"/>
        </w:rPr>
      </w:pPr>
      <w:r>
        <w:rPr>
          <w:rFonts w:hint="eastAsia" w:ascii="宋体" w:hAnsi="宋体" w:eastAsia="宋体" w:cs="宋体"/>
          <w:sz w:val="21"/>
          <w:szCs w:val="21"/>
          <w:lang w:val="en-GB" w:eastAsia="zh-CN"/>
        </w:rPr>
        <w:t>合同执行期间双方再协商形成的补充协议和追加条款也具有同等法律效力。</w:t>
      </w:r>
    </w:p>
    <w:p w14:paraId="72DDE6DA">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0" w:leftChars="0" w:firstLine="0" w:firstLineChars="0"/>
        <w:jc w:val="both"/>
        <w:textAlignment w:val="auto"/>
        <w:rPr>
          <w:rFonts w:hint="eastAsia" w:ascii="宋体" w:hAnsi="宋体" w:eastAsia="宋体" w:cs="宋体"/>
          <w:sz w:val="21"/>
          <w:szCs w:val="21"/>
          <w:lang w:val="en-GB" w:eastAsia="zh-CN"/>
        </w:rPr>
      </w:pPr>
      <w:r>
        <w:rPr>
          <w:rFonts w:hint="eastAsia" w:ascii="宋体" w:hAnsi="宋体" w:eastAsia="宋体" w:cs="宋体"/>
          <w:sz w:val="21"/>
          <w:szCs w:val="21"/>
          <w:lang w:val="en-GB" w:eastAsia="zh-CN"/>
        </w:rPr>
        <w:t>本</w:t>
      </w:r>
      <w:r>
        <w:rPr>
          <w:rFonts w:hint="eastAsia" w:ascii="宋体" w:hAnsi="宋体" w:cs="宋体"/>
          <w:sz w:val="21"/>
          <w:szCs w:val="21"/>
          <w:lang w:val="en-GB" w:eastAsia="zh-CN"/>
        </w:rPr>
        <w:t>技术规格书</w:t>
      </w:r>
      <w:r>
        <w:rPr>
          <w:rFonts w:hint="eastAsia" w:ascii="宋体" w:hAnsi="宋体" w:eastAsia="宋体" w:cs="宋体"/>
          <w:sz w:val="21"/>
          <w:szCs w:val="21"/>
          <w:lang w:val="en-GB" w:eastAsia="zh-CN"/>
        </w:rPr>
        <w:t>所提出的是最低标准的技术要求，并未对一切技术细节做出规定，也未充分引述有关标准和规范的条文，乙方应保证提供符合有关标准和技术文件的优质产品。</w:t>
      </w:r>
    </w:p>
    <w:p w14:paraId="7F7D08EE">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0" w:leftChars="0" w:firstLine="0" w:firstLineChars="0"/>
        <w:jc w:val="both"/>
        <w:textAlignment w:val="auto"/>
        <w:rPr>
          <w:rFonts w:hint="eastAsia" w:ascii="宋体" w:hAnsi="宋体" w:eastAsia="宋体" w:cs="宋体"/>
          <w:sz w:val="21"/>
          <w:szCs w:val="21"/>
          <w:lang w:val="en-GB" w:eastAsia="zh-CN"/>
        </w:rPr>
      </w:pPr>
      <w:r>
        <w:rPr>
          <w:rFonts w:hint="eastAsia" w:ascii="宋体" w:hAnsi="宋体" w:eastAsia="宋体" w:cs="宋体"/>
          <w:sz w:val="21"/>
          <w:szCs w:val="21"/>
          <w:lang w:val="en-GB" w:eastAsia="zh-CN"/>
        </w:rPr>
        <w:t>乙方提供的设备必须具有国内同行业近几年内的先进制造水平，采用先进工艺，合格材料，成熟的技术或专利技术。</w:t>
      </w:r>
    </w:p>
    <w:p w14:paraId="55382283">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0" w:leftChars="0" w:firstLine="0" w:firstLineChars="0"/>
        <w:jc w:val="both"/>
        <w:textAlignment w:val="auto"/>
        <w:rPr>
          <w:rFonts w:hint="eastAsia" w:ascii="宋体" w:hAnsi="宋体" w:eastAsia="宋体" w:cs="宋体"/>
          <w:sz w:val="21"/>
          <w:szCs w:val="21"/>
          <w:lang w:val="en-GB" w:eastAsia="zh-CN"/>
        </w:rPr>
      </w:pPr>
      <w:r>
        <w:rPr>
          <w:rFonts w:hint="eastAsia" w:ascii="宋体" w:hAnsi="宋体" w:eastAsia="宋体" w:cs="宋体"/>
          <w:sz w:val="21"/>
          <w:szCs w:val="21"/>
          <w:lang w:val="en-GB" w:eastAsia="zh-CN"/>
        </w:rPr>
        <w:t>乙方提供的设备必须是全新、规范、先进的高质量可靠产品，能够确保连续稳定的工作。</w:t>
      </w:r>
    </w:p>
    <w:p w14:paraId="1CA3D88F">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0" w:leftChars="0" w:firstLine="0" w:firstLineChars="0"/>
        <w:jc w:val="both"/>
        <w:textAlignment w:val="auto"/>
        <w:rPr>
          <w:rFonts w:hint="eastAsia" w:ascii="宋体" w:hAnsi="宋体" w:eastAsia="宋体" w:cs="宋体"/>
          <w:sz w:val="21"/>
          <w:szCs w:val="21"/>
          <w:lang w:val="en-GB" w:eastAsia="zh-CN"/>
        </w:rPr>
      </w:pPr>
      <w:r>
        <w:rPr>
          <w:rFonts w:hint="eastAsia" w:ascii="宋体" w:hAnsi="宋体" w:eastAsia="宋体" w:cs="宋体"/>
          <w:sz w:val="21"/>
          <w:szCs w:val="21"/>
          <w:lang w:val="en-GB" w:eastAsia="zh-CN"/>
        </w:rPr>
        <w:t>乙方提供货物的制造，材料的选择，都应按照国内外通用的现行标准和相应的技术规范执行，而这些标准和技术规范应为合同签字日为止最新公布发问的标准和技术规范。</w:t>
      </w:r>
    </w:p>
    <w:p w14:paraId="30512353">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0" w:leftChars="0" w:firstLine="0" w:firstLineChars="0"/>
        <w:jc w:val="both"/>
        <w:textAlignment w:val="auto"/>
        <w:rPr>
          <w:rFonts w:hint="eastAsia" w:ascii="宋体" w:hAnsi="宋体" w:eastAsia="宋体" w:cs="宋体"/>
          <w:sz w:val="21"/>
          <w:szCs w:val="21"/>
          <w:lang w:val="en-GB" w:eastAsia="zh-CN"/>
        </w:rPr>
      </w:pPr>
      <w:r>
        <w:rPr>
          <w:rFonts w:hint="eastAsia" w:ascii="宋体" w:hAnsi="宋体" w:eastAsia="宋体" w:cs="宋体"/>
          <w:sz w:val="21"/>
          <w:szCs w:val="21"/>
          <w:lang w:val="en-GB" w:eastAsia="zh-CN"/>
        </w:rPr>
        <w:t>乙方须对本次采购设备的完整性、合理性和设计质量承担全部责任。保证所供设备满足现场在线使用工况要求。</w:t>
      </w:r>
    </w:p>
    <w:p w14:paraId="7F9E7037">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0" w:leftChars="0" w:firstLine="0" w:firstLineChars="0"/>
        <w:jc w:val="both"/>
        <w:textAlignment w:val="auto"/>
        <w:rPr>
          <w:rFonts w:hint="eastAsia" w:ascii="宋体" w:hAnsi="宋体" w:eastAsia="宋体" w:cs="宋体"/>
          <w:sz w:val="21"/>
          <w:szCs w:val="21"/>
          <w:lang w:val="en-GB" w:eastAsia="zh-CN"/>
        </w:rPr>
      </w:pPr>
      <w:r>
        <w:rPr>
          <w:rFonts w:hint="eastAsia" w:ascii="宋体" w:hAnsi="宋体" w:eastAsia="宋体" w:cs="宋体"/>
          <w:sz w:val="21"/>
          <w:szCs w:val="21"/>
          <w:lang w:val="en-GB" w:eastAsia="zh-CN"/>
        </w:rPr>
        <w:t>乙方在合同货物制造中，发生侵犯专利的行为时其侵权责任与甲方无关。</w:t>
      </w:r>
    </w:p>
    <w:p w14:paraId="743E66C2">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0" w:leftChars="0" w:firstLine="0" w:firstLineChars="0"/>
        <w:jc w:val="both"/>
        <w:textAlignment w:val="auto"/>
        <w:rPr>
          <w:rFonts w:hint="default" w:ascii="宋体" w:hAnsi="宋体" w:eastAsia="宋体" w:cs="宋体"/>
          <w:color w:val="0000FF"/>
          <w:sz w:val="21"/>
          <w:szCs w:val="21"/>
          <w:lang w:val="en-US" w:eastAsia="zh-CN"/>
        </w:rPr>
      </w:pPr>
      <w:r>
        <w:rPr>
          <w:rFonts w:hint="eastAsia" w:ascii="宋体" w:hAnsi="宋体" w:cs="宋体"/>
          <w:color w:val="0000FF"/>
          <w:sz w:val="21"/>
          <w:szCs w:val="21"/>
          <w:lang w:val="en-US" w:eastAsia="zh-CN"/>
        </w:rPr>
        <w:t>技术规格书</w:t>
      </w:r>
      <w:r>
        <w:rPr>
          <w:rFonts w:hint="default" w:ascii="宋体" w:hAnsi="宋体" w:eastAsia="宋体" w:cs="宋体"/>
          <w:color w:val="0000FF"/>
          <w:sz w:val="21"/>
          <w:szCs w:val="21"/>
          <w:lang w:val="en-US" w:eastAsia="zh-CN"/>
        </w:rPr>
        <w:t>内容经由甲乙双方于XX年X月X日X时-X时通</w:t>
      </w:r>
      <w:r>
        <w:rPr>
          <w:rFonts w:hint="eastAsia" w:ascii="宋体" w:hAnsi="宋体" w:eastAsia="宋体" w:cs="宋体"/>
          <w:color w:val="0000FF"/>
          <w:sz w:val="21"/>
          <w:szCs w:val="21"/>
          <w:lang w:val="en-US" w:eastAsia="zh-CN"/>
        </w:rPr>
        <w:t>过XXXX方式商定。</w:t>
      </w:r>
    </w:p>
    <w:p w14:paraId="2BD0531C">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0" w:leftChars="0" w:firstLine="0" w:firstLineChars="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甲乙双方应当就签订本</w:t>
      </w:r>
      <w:r>
        <w:rPr>
          <w:rFonts w:hint="eastAsia" w:ascii="宋体" w:hAnsi="宋体" w:cs="宋体"/>
          <w:sz w:val="21"/>
          <w:szCs w:val="21"/>
          <w:lang w:val="en-US" w:eastAsia="zh-CN"/>
        </w:rPr>
        <w:t>技术规格书</w:t>
      </w:r>
      <w:r>
        <w:rPr>
          <w:rFonts w:hint="eastAsia" w:ascii="宋体" w:hAnsi="宋体" w:eastAsia="宋体" w:cs="宋体"/>
          <w:sz w:val="21"/>
          <w:szCs w:val="21"/>
          <w:lang w:val="en-US" w:eastAsia="zh-CN"/>
        </w:rPr>
        <w:t>的相关事宜保密，不得将签订主体、时间、内容等信息透露给其他第三人。</w:t>
      </w:r>
    </w:p>
    <w:p w14:paraId="618A0C5E">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0" w:leftChars="0" w:firstLine="0" w:firstLineChars="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若乙方公司不能中标，则本技术</w:t>
      </w:r>
      <w:r>
        <w:rPr>
          <w:rFonts w:hint="eastAsia" w:ascii="宋体" w:hAnsi="宋体" w:cs="宋体"/>
          <w:sz w:val="21"/>
          <w:szCs w:val="21"/>
          <w:lang w:val="en-US" w:eastAsia="zh-CN"/>
        </w:rPr>
        <w:t>规格书</w:t>
      </w:r>
      <w:r>
        <w:rPr>
          <w:rFonts w:hint="eastAsia" w:ascii="宋体" w:hAnsi="宋体" w:eastAsia="宋体" w:cs="宋体"/>
          <w:sz w:val="21"/>
          <w:szCs w:val="21"/>
          <w:lang w:val="en-US" w:eastAsia="zh-CN"/>
        </w:rPr>
        <w:t>自动失效，双方不承担任何责任。</w:t>
      </w:r>
    </w:p>
    <w:p w14:paraId="21D8E14A">
      <w:pPr>
        <w:pStyle w:val="4"/>
        <w:keepNext/>
        <w:keepLines/>
        <w:pageBreakBefore w:val="0"/>
        <w:widowControl w:val="0"/>
        <w:kinsoku/>
        <w:wordWrap/>
        <w:overflowPunct/>
        <w:topLinePunct w:val="0"/>
        <w:autoSpaceDE/>
        <w:autoSpaceDN/>
        <w:bidi w:val="0"/>
        <w:adjustRightInd w:val="0"/>
        <w:snapToGrid/>
        <w:spacing w:before="0" w:after="0" w:line="360" w:lineRule="auto"/>
        <w:ind w:left="0" w:leftChars="0" w:firstLine="0" w:firstLineChars="0"/>
        <w:textAlignment w:val="baseline"/>
        <w:rPr>
          <w:rFonts w:hint="eastAsia"/>
          <w:b/>
          <w:sz w:val="24"/>
          <w:szCs w:val="24"/>
          <w:highlight w:val="none"/>
          <w:lang w:val="en-US" w:eastAsia="zh-CN"/>
        </w:rPr>
      </w:pPr>
      <w:r>
        <w:rPr>
          <w:rFonts w:hint="eastAsia"/>
          <w:b/>
          <w:sz w:val="24"/>
          <w:szCs w:val="24"/>
          <w:highlight w:val="none"/>
          <w:lang w:val="en-US" w:eastAsia="zh-CN"/>
        </w:rPr>
        <w:t>供货范围</w:t>
      </w:r>
    </w:p>
    <w:tbl>
      <w:tblPr>
        <w:tblStyle w:val="22"/>
        <w:tblW w:w="9387" w:type="dxa"/>
        <w:jc w:val="center"/>
        <w:tblLayout w:type="fixed"/>
        <w:tblCellMar>
          <w:top w:w="0" w:type="dxa"/>
          <w:left w:w="108" w:type="dxa"/>
          <w:bottom w:w="0" w:type="dxa"/>
          <w:right w:w="108" w:type="dxa"/>
        </w:tblCellMar>
      </w:tblPr>
      <w:tblGrid>
        <w:gridCol w:w="546"/>
        <w:gridCol w:w="1603"/>
        <w:gridCol w:w="1365"/>
        <w:gridCol w:w="2530"/>
        <w:gridCol w:w="640"/>
        <w:gridCol w:w="797"/>
        <w:gridCol w:w="1906"/>
      </w:tblGrid>
      <w:tr w14:paraId="053E2989">
        <w:tblPrEx>
          <w:tblCellMar>
            <w:top w:w="0" w:type="dxa"/>
            <w:left w:w="108" w:type="dxa"/>
            <w:bottom w:w="0" w:type="dxa"/>
            <w:right w:w="108" w:type="dxa"/>
          </w:tblCellMar>
        </w:tblPrEx>
        <w:trPr>
          <w:trHeight w:val="652" w:hRule="atLeast"/>
          <w:jc w:val="center"/>
        </w:trPr>
        <w:tc>
          <w:tcPr>
            <w:tcW w:w="546" w:type="dxa"/>
            <w:tcBorders>
              <w:top w:val="single" w:color="auto" w:sz="4" w:space="0"/>
              <w:left w:val="single" w:color="auto" w:sz="4" w:space="0"/>
              <w:bottom w:val="single" w:color="auto" w:sz="4" w:space="0"/>
              <w:right w:val="single" w:color="auto" w:sz="4" w:space="0"/>
            </w:tcBorders>
            <w:noWrap w:val="0"/>
            <w:vAlign w:val="center"/>
          </w:tcPr>
          <w:p w14:paraId="76C4D7CC">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right="0" w:firstLine="0" w:firstLineChars="0"/>
              <w:jc w:val="center"/>
              <w:textAlignment w:val="baseline"/>
              <w:rPr>
                <w:rFonts w:hint="default" w:ascii="宋体" w:hAnsi="宋体" w:eastAsia="Times New Roman" w:cs="宋体"/>
                <w:sz w:val="21"/>
                <w:szCs w:val="21"/>
              </w:rPr>
            </w:pPr>
            <w:r>
              <w:rPr>
                <w:rFonts w:hint="eastAsia" w:ascii="宋体" w:hAnsi="宋体" w:eastAsia="Times New Roman" w:cs="宋体"/>
                <w:sz w:val="21"/>
                <w:szCs w:val="21"/>
              </w:rPr>
              <w:t>序号</w:t>
            </w:r>
          </w:p>
        </w:tc>
        <w:tc>
          <w:tcPr>
            <w:tcW w:w="1603" w:type="dxa"/>
            <w:tcBorders>
              <w:top w:val="single" w:color="auto" w:sz="4" w:space="0"/>
              <w:left w:val="single" w:color="auto" w:sz="4" w:space="0"/>
              <w:bottom w:val="single" w:color="auto" w:sz="4" w:space="0"/>
              <w:right w:val="single" w:color="auto" w:sz="4" w:space="0"/>
            </w:tcBorders>
            <w:noWrap w:val="0"/>
            <w:vAlign w:val="center"/>
          </w:tcPr>
          <w:p w14:paraId="5699BD65">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right="0" w:firstLine="0" w:firstLineChars="0"/>
              <w:jc w:val="center"/>
              <w:textAlignment w:val="baseline"/>
              <w:rPr>
                <w:rFonts w:hint="eastAsia" w:ascii="宋体" w:hAnsi="宋体" w:eastAsia="宋体" w:cs="宋体"/>
                <w:sz w:val="21"/>
                <w:szCs w:val="21"/>
                <w:lang w:eastAsia="zh-CN"/>
              </w:rPr>
            </w:pPr>
            <w:r>
              <w:rPr>
                <w:rFonts w:hint="eastAsia" w:ascii="宋体" w:hAnsi="宋体" w:eastAsia="Times New Roman" w:cs="宋体"/>
                <w:sz w:val="21"/>
                <w:szCs w:val="21"/>
              </w:rPr>
              <w:t>名称</w:t>
            </w:r>
          </w:p>
        </w:tc>
        <w:tc>
          <w:tcPr>
            <w:tcW w:w="1365" w:type="dxa"/>
            <w:tcBorders>
              <w:top w:val="single" w:color="auto" w:sz="4" w:space="0"/>
              <w:left w:val="single" w:color="auto" w:sz="4" w:space="0"/>
              <w:bottom w:val="single" w:color="auto" w:sz="4" w:space="0"/>
              <w:right w:val="single" w:color="auto" w:sz="4" w:space="0"/>
            </w:tcBorders>
            <w:noWrap w:val="0"/>
            <w:vAlign w:val="center"/>
          </w:tcPr>
          <w:p w14:paraId="0EE422F5">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right="0" w:firstLine="0" w:firstLineChars="0"/>
              <w:jc w:val="center"/>
              <w:textAlignment w:val="baseline"/>
              <w:rPr>
                <w:rFonts w:hint="eastAsia" w:ascii="宋体" w:hAnsi="宋体" w:eastAsia="Times New Roman" w:cs="宋体"/>
                <w:sz w:val="21"/>
                <w:szCs w:val="21"/>
                <w:lang w:val="en-US" w:eastAsia="zh-CN"/>
              </w:rPr>
            </w:pPr>
            <w:r>
              <w:rPr>
                <w:rFonts w:hint="eastAsia" w:ascii="宋体" w:hAnsi="宋体" w:eastAsia="Times New Roman" w:cs="宋体"/>
                <w:sz w:val="21"/>
                <w:szCs w:val="21"/>
                <w:lang w:val="en-US" w:eastAsia="zh-CN"/>
              </w:rPr>
              <w:t>编码</w:t>
            </w:r>
          </w:p>
        </w:tc>
        <w:tc>
          <w:tcPr>
            <w:tcW w:w="2530" w:type="dxa"/>
            <w:tcBorders>
              <w:top w:val="single" w:color="auto" w:sz="4" w:space="0"/>
              <w:left w:val="single" w:color="auto" w:sz="4" w:space="0"/>
              <w:bottom w:val="single" w:color="auto" w:sz="4" w:space="0"/>
              <w:right w:val="single" w:color="auto" w:sz="4" w:space="0"/>
            </w:tcBorders>
            <w:noWrap w:val="0"/>
            <w:vAlign w:val="center"/>
          </w:tcPr>
          <w:p w14:paraId="154F4267">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right="0" w:firstLine="0" w:firstLineChars="0"/>
              <w:jc w:val="center"/>
              <w:textAlignment w:val="baseline"/>
              <w:rPr>
                <w:rFonts w:hint="default" w:ascii="宋体" w:hAnsi="宋体" w:eastAsia="Times New Roman" w:cs="宋体"/>
                <w:sz w:val="21"/>
                <w:szCs w:val="21"/>
              </w:rPr>
            </w:pPr>
            <w:r>
              <w:rPr>
                <w:rFonts w:hint="eastAsia" w:ascii="宋体" w:hAnsi="宋体" w:eastAsia="Times New Roman" w:cs="宋体"/>
                <w:sz w:val="21"/>
                <w:szCs w:val="21"/>
                <w:lang w:val="en-US" w:eastAsia="zh-CN"/>
              </w:rPr>
              <w:t>型号</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78722C3A">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right="0" w:firstLine="0" w:firstLineChars="0"/>
              <w:jc w:val="center"/>
              <w:textAlignment w:val="baseline"/>
              <w:rPr>
                <w:rFonts w:hint="default" w:ascii="宋体" w:hAnsi="宋体" w:eastAsia="Times New Roman" w:cs="宋体"/>
                <w:sz w:val="21"/>
                <w:szCs w:val="21"/>
              </w:rPr>
            </w:pPr>
            <w:r>
              <w:rPr>
                <w:rFonts w:hint="eastAsia" w:ascii="宋体" w:hAnsi="宋体" w:eastAsia="Times New Roman" w:cs="宋体"/>
                <w:sz w:val="21"/>
                <w:szCs w:val="21"/>
              </w:rPr>
              <w:t>数量</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3561AAEC">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right="0" w:firstLine="0" w:firstLineChars="0"/>
              <w:jc w:val="center"/>
              <w:textAlignment w:val="baseline"/>
              <w:rPr>
                <w:rFonts w:hint="default" w:ascii="宋体" w:hAnsi="宋体" w:eastAsia="Times New Roman" w:cs="宋体"/>
                <w:sz w:val="21"/>
                <w:szCs w:val="21"/>
              </w:rPr>
            </w:pPr>
            <w:r>
              <w:rPr>
                <w:rFonts w:hint="eastAsia" w:ascii="宋体" w:hAnsi="宋体" w:eastAsia="Times New Roman" w:cs="宋体"/>
                <w:sz w:val="21"/>
                <w:szCs w:val="21"/>
              </w:rPr>
              <w:t>材料</w:t>
            </w:r>
          </w:p>
        </w:tc>
        <w:tc>
          <w:tcPr>
            <w:tcW w:w="1906" w:type="dxa"/>
            <w:tcBorders>
              <w:top w:val="single" w:color="auto" w:sz="4" w:space="0"/>
              <w:left w:val="single" w:color="auto" w:sz="4" w:space="0"/>
              <w:bottom w:val="single" w:color="auto" w:sz="4" w:space="0"/>
              <w:right w:val="single" w:color="auto" w:sz="4" w:space="0"/>
            </w:tcBorders>
            <w:noWrap w:val="0"/>
            <w:vAlign w:val="center"/>
          </w:tcPr>
          <w:p w14:paraId="01AAC898">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right="0" w:firstLine="0" w:firstLineChars="0"/>
              <w:jc w:val="center"/>
              <w:textAlignment w:val="baseline"/>
              <w:rPr>
                <w:rFonts w:hint="eastAsia" w:ascii="宋体" w:hAnsi="宋体" w:eastAsia="宋体" w:cs="宋体"/>
                <w:sz w:val="21"/>
                <w:szCs w:val="21"/>
                <w:lang w:eastAsia="zh-CN"/>
              </w:rPr>
            </w:pPr>
            <w:r>
              <w:rPr>
                <w:rFonts w:hint="eastAsia" w:ascii="宋体" w:hAnsi="宋体" w:eastAsia="宋体" w:cs="宋体"/>
                <w:sz w:val="21"/>
                <w:szCs w:val="21"/>
                <w:lang w:eastAsia="zh-CN"/>
              </w:rPr>
              <w:t>技术说明</w:t>
            </w:r>
          </w:p>
        </w:tc>
      </w:tr>
      <w:tr w14:paraId="42AFF255">
        <w:tblPrEx>
          <w:tblCellMar>
            <w:top w:w="0" w:type="dxa"/>
            <w:left w:w="108" w:type="dxa"/>
            <w:bottom w:w="0" w:type="dxa"/>
            <w:right w:w="108" w:type="dxa"/>
          </w:tblCellMar>
        </w:tblPrEx>
        <w:trPr>
          <w:trHeight w:val="486" w:hRule="atLeast"/>
          <w:jc w:val="center"/>
        </w:trPr>
        <w:tc>
          <w:tcPr>
            <w:tcW w:w="546" w:type="dxa"/>
            <w:tcBorders>
              <w:top w:val="single" w:color="auto" w:sz="4" w:space="0"/>
              <w:left w:val="single" w:color="auto" w:sz="4" w:space="0"/>
              <w:bottom w:val="single" w:color="auto" w:sz="4" w:space="0"/>
              <w:right w:val="single" w:color="auto" w:sz="4" w:space="0"/>
            </w:tcBorders>
            <w:noWrap w:val="0"/>
            <w:vAlign w:val="center"/>
          </w:tcPr>
          <w:p w14:paraId="15C5DCB7">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right="0" w:firstLine="0" w:firstLineChars="0"/>
              <w:jc w:val="center"/>
              <w:textAlignment w:val="baseline"/>
              <w:rPr>
                <w:rFonts w:hint="eastAsia" w:ascii="宋体" w:hAnsi="宋体" w:eastAsia="Times New Roman" w:cs="宋体"/>
                <w:sz w:val="21"/>
                <w:szCs w:val="21"/>
              </w:rPr>
            </w:pPr>
            <w:r>
              <w:rPr>
                <w:rFonts w:hint="eastAsia" w:ascii="宋体" w:hAnsi="宋体" w:eastAsia="Times New Roman" w:cs="宋体"/>
                <w:sz w:val="21"/>
                <w:szCs w:val="21"/>
              </w:rPr>
              <w:t>1</w:t>
            </w:r>
          </w:p>
        </w:tc>
        <w:tc>
          <w:tcPr>
            <w:tcW w:w="1603" w:type="dxa"/>
            <w:tcBorders>
              <w:top w:val="single" w:color="auto" w:sz="4" w:space="0"/>
              <w:left w:val="single" w:color="auto" w:sz="4" w:space="0"/>
              <w:bottom w:val="single" w:color="auto" w:sz="4" w:space="0"/>
              <w:right w:val="single" w:color="auto" w:sz="4" w:space="0"/>
            </w:tcBorders>
            <w:noWrap w:val="0"/>
            <w:vAlign w:val="center"/>
          </w:tcPr>
          <w:p w14:paraId="0D470B61">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right="0" w:firstLine="0" w:firstLineChars="0"/>
              <w:jc w:val="center"/>
              <w:textAlignment w:val="baseline"/>
              <w:rPr>
                <w:rFonts w:hint="default" w:ascii="宋体" w:hAnsi="宋体" w:cs="Times New Roman"/>
                <w:sz w:val="21"/>
                <w:szCs w:val="21"/>
                <w:lang w:val="en-US" w:eastAsia="zh-CN" w:bidi="ar-SA"/>
              </w:rPr>
            </w:pPr>
            <w:r>
              <w:rPr>
                <w:rFonts w:hint="eastAsia" w:ascii="宋体" w:hAnsi="宋体" w:cs="Times New Roman"/>
                <w:sz w:val="21"/>
                <w:szCs w:val="21"/>
                <w:lang w:val="en-US" w:eastAsia="zh-CN" w:bidi="ar-SA"/>
              </w:rPr>
              <w:t>1080剪总成</w:t>
            </w:r>
          </w:p>
        </w:tc>
        <w:tc>
          <w:tcPr>
            <w:tcW w:w="1365" w:type="dxa"/>
            <w:tcBorders>
              <w:top w:val="single" w:color="auto" w:sz="4" w:space="0"/>
              <w:left w:val="single" w:color="auto" w:sz="4" w:space="0"/>
              <w:bottom w:val="single" w:color="auto" w:sz="4" w:space="0"/>
              <w:right w:val="single" w:color="auto" w:sz="4" w:space="0"/>
            </w:tcBorders>
            <w:noWrap w:val="0"/>
            <w:vAlign w:val="center"/>
          </w:tcPr>
          <w:p w14:paraId="6CA0D53C">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right="0" w:firstLine="0" w:firstLineChars="0"/>
              <w:jc w:val="center"/>
              <w:textAlignment w:val="baseline"/>
              <w:rPr>
                <w:rFonts w:hint="eastAsia" w:ascii="宋体" w:hAnsi="宋体" w:eastAsia="宋体" w:cs="Times New Roman"/>
                <w:sz w:val="21"/>
                <w:szCs w:val="21"/>
                <w:lang w:val="en-US" w:eastAsia="zh-CN" w:bidi="ar-SA"/>
              </w:rPr>
            </w:pPr>
            <w:r>
              <w:rPr>
                <w:rFonts w:hint="eastAsia" w:ascii="宋体" w:hAnsi="宋体" w:cs="Times New Roman"/>
                <w:sz w:val="21"/>
                <w:szCs w:val="21"/>
                <w:lang w:val="en-US" w:eastAsia="zh-CN" w:bidi="ar-SA"/>
              </w:rPr>
              <w:t>70446328</w:t>
            </w:r>
          </w:p>
        </w:tc>
        <w:tc>
          <w:tcPr>
            <w:tcW w:w="2530" w:type="dxa"/>
            <w:tcBorders>
              <w:top w:val="single" w:color="auto" w:sz="4" w:space="0"/>
              <w:left w:val="single" w:color="auto" w:sz="4" w:space="0"/>
              <w:bottom w:val="single" w:color="auto" w:sz="4" w:space="0"/>
              <w:right w:val="single" w:color="auto" w:sz="4" w:space="0"/>
            </w:tcBorders>
            <w:noWrap w:val="0"/>
            <w:vAlign w:val="center"/>
          </w:tcPr>
          <w:p w14:paraId="13F39FFC">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right="0" w:firstLine="0" w:firstLineChars="0"/>
              <w:jc w:val="center"/>
              <w:textAlignment w:val="baseline"/>
              <w:rPr>
                <w:rFonts w:hint="eastAsia" w:ascii="宋体" w:hAnsi="宋体" w:eastAsia="宋体" w:cs="Times New Roman"/>
                <w:sz w:val="21"/>
                <w:szCs w:val="21"/>
                <w:lang w:val="en-US" w:eastAsia="zh-CN"/>
              </w:rPr>
            </w:pPr>
            <w:r>
              <w:rPr>
                <w:rFonts w:hint="eastAsia" w:ascii="宋体" w:hAnsi="宋体" w:cs="Times New Roman"/>
                <w:sz w:val="21"/>
                <w:szCs w:val="21"/>
                <w:lang w:val="en-US" w:eastAsia="zh-CN" w:bidi="ar-SA"/>
              </w:rPr>
              <w:t>10202493</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532BB7B0">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right="0" w:firstLine="0" w:firstLineChars="0"/>
              <w:jc w:val="center"/>
              <w:textAlignment w:val="baseline"/>
              <w:rPr>
                <w:rFonts w:hint="eastAsia" w:ascii="宋体" w:hAnsi="宋体" w:eastAsia="宋体" w:cs="Times New Roman"/>
                <w:sz w:val="21"/>
                <w:szCs w:val="21"/>
                <w:lang w:val="en-US" w:eastAsia="zh-CN"/>
              </w:rPr>
            </w:pPr>
            <w:r>
              <w:rPr>
                <w:rFonts w:hint="eastAsia" w:ascii="宋体" w:hAnsi="宋体" w:cs="Times New Roman"/>
                <w:sz w:val="21"/>
                <w:szCs w:val="21"/>
                <w:lang w:val="en-US" w:eastAsia="zh-CN"/>
              </w:rPr>
              <w:t>1台</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421186B4">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right="0" w:firstLine="0" w:firstLineChars="0"/>
              <w:jc w:val="center"/>
              <w:textAlignment w:val="baseline"/>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组件</w:t>
            </w:r>
          </w:p>
        </w:tc>
        <w:tc>
          <w:tcPr>
            <w:tcW w:w="1906" w:type="dxa"/>
            <w:tcBorders>
              <w:top w:val="single" w:color="auto" w:sz="4" w:space="0"/>
              <w:left w:val="single" w:color="auto" w:sz="4" w:space="0"/>
              <w:bottom w:val="single" w:color="auto" w:sz="4" w:space="0"/>
              <w:right w:val="single" w:color="auto" w:sz="4" w:space="0"/>
            </w:tcBorders>
            <w:noWrap w:val="0"/>
            <w:vAlign w:val="center"/>
          </w:tcPr>
          <w:p w14:paraId="4E85DB90">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right="0" w:firstLine="0" w:firstLineChars="0"/>
              <w:jc w:val="center"/>
              <w:textAlignment w:val="baseline"/>
              <w:rPr>
                <w:rFonts w:hint="default" w:ascii="宋体" w:hAnsi="宋体" w:eastAsia="宋体" w:cs="宋体"/>
                <w:sz w:val="21"/>
                <w:szCs w:val="21"/>
                <w:lang w:val="en-US" w:eastAsia="zh-CN"/>
              </w:rPr>
            </w:pPr>
            <w:r>
              <w:rPr>
                <w:rFonts w:hint="eastAsia" w:ascii="宋体" w:hAnsi="宋体" w:eastAsia="宋体" w:cs="Times New Roman"/>
                <w:sz w:val="21"/>
                <w:szCs w:val="21"/>
                <w:lang w:val="en-US" w:eastAsia="zh-CN"/>
              </w:rPr>
              <w:t>包括齿轮箱、剪臂总成</w:t>
            </w:r>
            <w:r>
              <w:rPr>
                <w:rFonts w:hint="eastAsia" w:ascii="宋体" w:hAnsi="宋体" w:cs="Times New Roman"/>
                <w:sz w:val="21"/>
                <w:szCs w:val="21"/>
                <w:lang w:val="en-US" w:eastAsia="zh-CN"/>
              </w:rPr>
              <w:t>、安全护罩</w:t>
            </w:r>
            <w:r>
              <w:rPr>
                <w:rFonts w:hint="eastAsia" w:ascii="宋体" w:hAnsi="宋体" w:eastAsia="宋体" w:cs="Times New Roman"/>
                <w:sz w:val="21"/>
                <w:szCs w:val="21"/>
                <w:lang w:val="en-US" w:eastAsia="zh-CN"/>
              </w:rPr>
              <w:t>等</w:t>
            </w:r>
          </w:p>
        </w:tc>
      </w:tr>
    </w:tbl>
    <w:p w14:paraId="1E2267F2">
      <w:pPr>
        <w:pStyle w:val="4"/>
        <w:keepNext/>
        <w:keepLines/>
        <w:pageBreakBefore w:val="0"/>
        <w:widowControl w:val="0"/>
        <w:numPr>
          <w:ilvl w:val="0"/>
          <w:numId w:val="0"/>
        </w:numPr>
        <w:kinsoku/>
        <w:wordWrap/>
        <w:overflowPunct/>
        <w:topLinePunct w:val="0"/>
        <w:autoSpaceDE/>
        <w:autoSpaceDN/>
        <w:bidi w:val="0"/>
        <w:adjustRightInd w:val="0"/>
        <w:snapToGrid/>
        <w:spacing w:before="0" w:after="0" w:line="360" w:lineRule="auto"/>
        <w:ind w:leftChars="0"/>
        <w:textAlignment w:val="baseline"/>
        <w:rPr>
          <w:rFonts w:hint="eastAsia"/>
          <w:b/>
          <w:sz w:val="24"/>
          <w:szCs w:val="24"/>
          <w:highlight w:val="none"/>
          <w:lang w:val="en-US" w:eastAsia="zh-CN"/>
        </w:rPr>
      </w:pPr>
      <w:r>
        <w:rPr>
          <w:rFonts w:hint="eastAsia"/>
          <w:b/>
          <w:sz w:val="24"/>
          <w:szCs w:val="24"/>
          <w:highlight w:val="none"/>
          <w:lang w:val="en-US" w:eastAsia="zh-CN"/>
        </w:rPr>
        <w:t>注：乙方需具备同行业摩根型轧线齿轮箱生产或修复业绩。</w:t>
      </w:r>
    </w:p>
    <w:p w14:paraId="58E70021">
      <w:pPr>
        <w:pStyle w:val="4"/>
        <w:keepNext/>
        <w:keepLines/>
        <w:pageBreakBefore w:val="0"/>
        <w:widowControl w:val="0"/>
        <w:kinsoku/>
        <w:wordWrap/>
        <w:overflowPunct/>
        <w:topLinePunct w:val="0"/>
        <w:autoSpaceDE/>
        <w:autoSpaceDN/>
        <w:bidi w:val="0"/>
        <w:adjustRightInd w:val="0"/>
        <w:snapToGrid/>
        <w:spacing w:before="0" w:after="0" w:line="360" w:lineRule="auto"/>
        <w:ind w:left="0" w:leftChars="0" w:firstLine="0" w:firstLineChars="0"/>
        <w:textAlignment w:val="baseline"/>
        <w:rPr>
          <w:rFonts w:hint="eastAsia"/>
          <w:b/>
          <w:sz w:val="24"/>
          <w:szCs w:val="24"/>
          <w:highlight w:val="none"/>
          <w:lang w:val="en-US" w:eastAsia="zh-CN"/>
        </w:rPr>
      </w:pPr>
      <w:r>
        <w:rPr>
          <w:rFonts w:hint="eastAsia"/>
          <w:b/>
          <w:sz w:val="24"/>
          <w:szCs w:val="24"/>
          <w:highlight w:val="none"/>
          <w:lang w:val="en-US" w:eastAsia="zh-CN"/>
        </w:rPr>
        <w:t>技术要求</w:t>
      </w:r>
    </w:p>
    <w:p w14:paraId="6D050808">
      <w:pPr>
        <w:keepNext w:val="0"/>
        <w:keepLines w:val="0"/>
        <w:pageBreakBefore w:val="0"/>
        <w:widowControl w:val="0"/>
        <w:numPr>
          <w:ilvl w:val="0"/>
          <w:numId w:val="4"/>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0" w:leftChars="0" w:firstLine="0" w:firstLineChars="0"/>
        <w:jc w:val="both"/>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主要技术要求</w:t>
      </w:r>
    </w:p>
    <w:p w14:paraId="7AD28B8D">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Chars="0" w:firstLine="420" w:firstLineChars="20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3.1.1</w:t>
      </w:r>
      <w:r>
        <w:rPr>
          <w:rFonts w:hint="eastAsia" w:ascii="宋体" w:hAnsi="宋体" w:cs="宋体"/>
          <w:color w:val="auto"/>
          <w:sz w:val="21"/>
          <w:szCs w:val="21"/>
          <w:lang w:val="en-US" w:eastAsia="zh-CN"/>
        </w:rPr>
        <w:t>主要技术参数</w:t>
      </w:r>
    </w:p>
    <w:p w14:paraId="502F6302">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Chars="0" w:firstLine="420" w:firstLineChars="20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剪轴中心距：1080mm</w:t>
      </w:r>
    </w:p>
    <w:p w14:paraId="72B4305D">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Chars="0" w:firstLine="420" w:firstLineChars="20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最大剪切力：110kN</w:t>
      </w:r>
    </w:p>
    <w:p w14:paraId="20C54958">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Chars="0" w:firstLine="420" w:firstLineChars="200"/>
        <w:jc w:val="both"/>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最大剪切速度：22.4m/s</w:t>
      </w:r>
    </w:p>
    <w:p w14:paraId="623C013C">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Chars="0" w:firstLine="420" w:firstLineChars="20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剪切直径：17.1-32.5mm</w:t>
      </w:r>
    </w:p>
    <w:p w14:paraId="1A7081D3">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Chars="0" w:firstLine="420" w:firstLineChars="20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公称传动比：1.0</w:t>
      </w:r>
    </w:p>
    <w:p w14:paraId="657D4588">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Chars="0" w:firstLine="420" w:firstLineChars="200"/>
        <w:jc w:val="both"/>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电机</w:t>
      </w:r>
      <w:r>
        <w:rPr>
          <w:rFonts w:hint="eastAsia" w:ascii="宋体" w:hAnsi="宋体" w:eastAsia="宋体" w:cs="宋体"/>
          <w:color w:val="auto"/>
          <w:sz w:val="21"/>
          <w:szCs w:val="21"/>
          <w:lang w:val="en-US" w:eastAsia="zh-CN"/>
        </w:rPr>
        <w:t>额定功率：188</w:t>
      </w:r>
      <w:r>
        <w:rPr>
          <w:rFonts w:hint="eastAsia" w:ascii="宋体" w:hAnsi="宋体" w:cs="宋体"/>
          <w:color w:val="auto"/>
          <w:sz w:val="21"/>
          <w:szCs w:val="21"/>
          <w:lang w:val="en-US" w:eastAsia="zh-CN"/>
        </w:rPr>
        <w:t>kW</w:t>
      </w:r>
    </w:p>
    <w:p w14:paraId="4DB077B4">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Chars="0" w:firstLine="420" w:firstLineChars="200"/>
        <w:jc w:val="both"/>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3.1.2 1080剪总成箱体、齿轮、轴系的材质及加工等严格执行摩根图纸技术要求，所有</w:t>
      </w:r>
      <w:r>
        <w:rPr>
          <w:rFonts w:hint="eastAsia" w:ascii="宋体" w:hAnsi="宋体" w:eastAsia="宋体" w:cs="宋体"/>
          <w:color w:val="auto"/>
          <w:sz w:val="21"/>
          <w:szCs w:val="21"/>
          <w:lang w:val="en-US" w:eastAsia="zh-CN"/>
        </w:rPr>
        <w:t>轴承</w:t>
      </w:r>
      <w:r>
        <w:rPr>
          <w:rFonts w:hint="eastAsia" w:ascii="宋体" w:hAnsi="宋体" w:cs="宋体"/>
          <w:color w:val="auto"/>
          <w:sz w:val="21"/>
          <w:szCs w:val="21"/>
          <w:lang w:val="en-US" w:eastAsia="zh-CN"/>
        </w:rPr>
        <w:t>品牌（参照或相当于</w:t>
      </w:r>
      <w:r>
        <w:rPr>
          <w:rFonts w:hint="eastAsia" w:ascii="宋体" w:hAnsi="宋体" w:eastAsia="宋体" w:cs="宋体"/>
          <w:color w:val="auto"/>
          <w:sz w:val="21"/>
          <w:szCs w:val="21"/>
          <w:lang w:val="en-US" w:eastAsia="zh-CN"/>
        </w:rPr>
        <w:t>SKF( 瑞典本部生产)或FAG（德国本部生产）品牌</w:t>
      </w:r>
      <w:r>
        <w:rPr>
          <w:rFonts w:hint="eastAsia" w:ascii="宋体" w:hAnsi="宋体" w:cs="宋体"/>
          <w:color w:val="auto"/>
          <w:sz w:val="21"/>
          <w:szCs w:val="21"/>
          <w:lang w:val="en-US" w:eastAsia="zh-CN"/>
        </w:rPr>
        <w:t>）</w:t>
      </w:r>
      <w:r>
        <w:rPr>
          <w:rFonts w:hint="eastAsia" w:ascii="宋体" w:hAnsi="宋体" w:eastAsia="宋体" w:cs="宋体"/>
          <w:sz w:val="21"/>
          <w:szCs w:val="21"/>
          <w:lang w:val="en-US" w:eastAsia="zh-CN"/>
        </w:rPr>
        <w:t>，</w:t>
      </w:r>
      <w:r>
        <w:rPr>
          <w:rFonts w:hint="eastAsia" w:ascii="宋体" w:hAnsi="宋体" w:eastAsia="宋体" w:cs="宋体"/>
          <w:b w:val="0"/>
          <w:bCs w:val="0"/>
          <w:sz w:val="21"/>
          <w:szCs w:val="21"/>
        </w:rPr>
        <w:t>轴承寿命设计要大于五万小时</w:t>
      </w:r>
      <w:r>
        <w:rPr>
          <w:rFonts w:hint="eastAsia" w:ascii="宋体" w:hAnsi="宋体" w:eastAsia="宋体" w:cs="宋体"/>
          <w:b w:val="0"/>
          <w:bCs w:val="0"/>
          <w:sz w:val="21"/>
          <w:szCs w:val="21"/>
          <w:lang w:eastAsia="zh-CN"/>
        </w:rPr>
        <w:t>，</w:t>
      </w:r>
      <w:r>
        <w:rPr>
          <w:rFonts w:hint="eastAsia" w:ascii="宋体" w:hAnsi="宋体" w:eastAsia="宋体" w:cs="宋体"/>
          <w:sz w:val="21"/>
          <w:szCs w:val="21"/>
          <w:lang w:val="en-US" w:eastAsia="zh-CN"/>
        </w:rPr>
        <w:t>加强轴承抗冲击能力</w:t>
      </w:r>
      <w:r>
        <w:rPr>
          <w:rFonts w:hint="eastAsia" w:ascii="宋体" w:hAnsi="宋体" w:eastAsia="宋体" w:cs="宋体"/>
          <w:color w:val="auto"/>
          <w:sz w:val="21"/>
          <w:szCs w:val="21"/>
          <w:lang w:val="en-US" w:eastAsia="zh-CN"/>
        </w:rPr>
        <w:t>。</w:t>
      </w:r>
      <w:r>
        <w:rPr>
          <w:rFonts w:hint="eastAsia" w:ascii="宋体" w:hAnsi="宋体" w:cs="宋体"/>
          <w:color w:val="auto"/>
          <w:sz w:val="21"/>
          <w:szCs w:val="21"/>
          <w:lang w:val="en-US" w:eastAsia="zh-CN"/>
        </w:rPr>
        <w:t>1080剪总成齿轮、轴系备件必须磁粉/超声波探伤合格后方可。</w:t>
      </w:r>
    </w:p>
    <w:p w14:paraId="3D9EB4D7">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Chars="0" w:firstLine="42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1"/>
          <w:szCs w:val="21"/>
          <w:lang w:val="en-US" w:eastAsia="zh-CN"/>
        </w:rPr>
        <w:t>3.1.</w:t>
      </w:r>
      <w:r>
        <w:rPr>
          <w:rFonts w:hint="eastAsia" w:ascii="宋体" w:hAnsi="宋体" w:cs="宋体"/>
          <w:color w:val="auto"/>
          <w:sz w:val="21"/>
          <w:szCs w:val="21"/>
          <w:lang w:val="en-US" w:eastAsia="zh-CN"/>
        </w:rPr>
        <w:t xml:space="preserve">3 </w:t>
      </w:r>
      <w:r>
        <w:rPr>
          <w:rFonts w:hint="eastAsia" w:ascii="宋体" w:hAnsi="宋体" w:eastAsia="宋体" w:cs="宋体"/>
          <w:b w:val="0"/>
          <w:bCs w:val="0"/>
          <w:color w:val="000000"/>
          <w:sz w:val="21"/>
          <w:szCs w:val="21"/>
        </w:rPr>
        <w:t>齿轮材料选用20C</w:t>
      </w:r>
      <w:bookmarkStart w:id="0" w:name="_GoBack"/>
      <w:bookmarkEnd w:id="0"/>
      <w:r>
        <w:rPr>
          <w:rFonts w:hint="eastAsia" w:ascii="宋体" w:hAnsi="宋体" w:eastAsia="宋体" w:cs="宋体"/>
          <w:b w:val="0"/>
          <w:bCs w:val="0"/>
          <w:color w:val="000000"/>
          <w:sz w:val="21"/>
          <w:szCs w:val="21"/>
        </w:rPr>
        <w:t>rNi2MoA或</w:t>
      </w:r>
      <w:r>
        <w:rPr>
          <w:rFonts w:hint="eastAsia" w:ascii="宋体" w:hAnsi="宋体" w:eastAsia="宋体" w:cs="宋体"/>
          <w:b w:val="0"/>
          <w:bCs w:val="0"/>
          <w:color w:val="000000"/>
          <w:sz w:val="21"/>
          <w:szCs w:val="21"/>
          <w:lang w:eastAsia="zh-CN"/>
        </w:rPr>
        <w:t>更优材质，</w:t>
      </w:r>
      <w:r>
        <w:rPr>
          <w:rFonts w:hint="eastAsia" w:ascii="宋体" w:hAnsi="宋体" w:eastAsia="宋体" w:cs="宋体"/>
          <w:b w:val="0"/>
          <w:bCs w:val="0"/>
          <w:color w:val="000000"/>
          <w:sz w:val="21"/>
          <w:szCs w:val="21"/>
        </w:rPr>
        <w:t>轴材料采用42CrMo</w:t>
      </w:r>
      <w:r>
        <w:rPr>
          <w:rFonts w:hint="eastAsia" w:ascii="宋体" w:hAnsi="宋体" w:eastAsia="宋体" w:cs="宋体"/>
          <w:color w:val="auto"/>
          <w:sz w:val="21"/>
          <w:szCs w:val="21"/>
          <w:lang w:val="en-US" w:eastAsia="zh-CN"/>
        </w:rPr>
        <w:t>，齿轮、轴坯料要求探伤检验合格，斜齿</w:t>
      </w:r>
      <w:r>
        <w:rPr>
          <w:rFonts w:hint="eastAsia" w:ascii="宋体" w:hAnsi="宋体" w:eastAsia="宋体" w:cs="宋体"/>
          <w:b w:val="0"/>
          <w:bCs w:val="0"/>
          <w:sz w:val="21"/>
          <w:szCs w:val="21"/>
        </w:rPr>
        <w:t>齿轮啮合精度要求长度方向大于70%，高度方向大于</w:t>
      </w:r>
      <w:r>
        <w:rPr>
          <w:rFonts w:hint="eastAsia" w:ascii="宋体" w:hAnsi="宋体" w:cs="宋体"/>
          <w:b w:val="0"/>
          <w:bCs w:val="0"/>
          <w:sz w:val="21"/>
          <w:szCs w:val="21"/>
          <w:lang w:val="en-US" w:eastAsia="zh-CN"/>
        </w:rPr>
        <w:t>6</w:t>
      </w:r>
      <w:r>
        <w:rPr>
          <w:rFonts w:hint="eastAsia" w:ascii="宋体" w:hAnsi="宋体" w:eastAsia="宋体" w:cs="宋体"/>
          <w:b w:val="0"/>
          <w:bCs w:val="0"/>
          <w:sz w:val="21"/>
          <w:szCs w:val="21"/>
        </w:rPr>
        <w:t>0%</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其精度等级不低于GB/11365—89六级（IS06）6级。</w:t>
      </w:r>
      <w:r>
        <w:rPr>
          <w:rFonts w:hint="eastAsia" w:ascii="宋体" w:hAnsi="宋体" w:eastAsia="宋体" w:cs="宋体"/>
          <w:color w:val="auto"/>
          <w:sz w:val="21"/>
          <w:szCs w:val="21"/>
          <w:lang w:val="en-US" w:eastAsia="zh-CN"/>
        </w:rPr>
        <w:t>齿面渗碳淬火，有效硬化层深度1.2+0.3mm，</w:t>
      </w:r>
      <w:r>
        <w:rPr>
          <w:rFonts w:hint="eastAsia" w:ascii="宋体" w:hAnsi="宋体" w:eastAsia="宋体" w:cs="宋体"/>
          <w:b w:val="0"/>
          <w:bCs w:val="0"/>
          <w:sz w:val="21"/>
          <w:szCs w:val="21"/>
        </w:rPr>
        <w:t>齿面硬度为HRC58—62度，芯部硬度为HRC33-42度</w:t>
      </w:r>
      <w:r>
        <w:rPr>
          <w:rFonts w:hint="eastAsia" w:ascii="宋体" w:hAnsi="宋体" w:eastAsia="宋体" w:cs="宋体"/>
          <w:b w:val="0"/>
          <w:bCs w:val="0"/>
          <w:sz w:val="21"/>
          <w:szCs w:val="21"/>
          <w:lang w:eastAsia="zh-CN"/>
        </w:rPr>
        <w:t>，</w:t>
      </w:r>
      <w:r>
        <w:rPr>
          <w:rFonts w:hint="eastAsia" w:ascii="宋体" w:hAnsi="宋体" w:eastAsia="宋体" w:cs="宋体"/>
          <w:color w:val="auto"/>
          <w:sz w:val="21"/>
          <w:szCs w:val="21"/>
          <w:lang w:val="en-US" w:eastAsia="zh-CN"/>
        </w:rPr>
        <w:t>符合机械部锻件二级标准，</w:t>
      </w:r>
      <w:r>
        <w:rPr>
          <w:rFonts w:hint="eastAsia" w:ascii="宋体" w:hAnsi="宋体" w:cs="宋体"/>
          <w:color w:val="auto"/>
          <w:sz w:val="21"/>
          <w:szCs w:val="21"/>
          <w:lang w:val="en-US" w:eastAsia="zh-CN"/>
        </w:rPr>
        <w:t>齿轮</w:t>
      </w:r>
      <w:r>
        <w:rPr>
          <w:rFonts w:hint="eastAsia" w:ascii="宋体" w:hAnsi="宋体" w:eastAsia="宋体" w:cs="宋体"/>
          <w:color w:val="auto"/>
          <w:sz w:val="21"/>
          <w:szCs w:val="21"/>
          <w:lang w:val="en-US" w:eastAsia="zh-CN"/>
        </w:rPr>
        <w:t>热处理后要做齿面磁粉探伤。</w:t>
      </w:r>
    </w:p>
    <w:p w14:paraId="644252CA">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Chars="0"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color w:val="auto"/>
          <w:sz w:val="21"/>
          <w:szCs w:val="21"/>
          <w:lang w:val="en-US" w:eastAsia="zh-CN"/>
        </w:rPr>
        <w:t>3.1.</w:t>
      </w:r>
      <w:r>
        <w:rPr>
          <w:rFonts w:hint="eastAsia" w:ascii="宋体" w:hAnsi="宋体" w:cs="宋体"/>
          <w:color w:val="auto"/>
          <w:sz w:val="21"/>
          <w:szCs w:val="21"/>
          <w:lang w:val="en-US" w:eastAsia="zh-CN"/>
        </w:rPr>
        <w:t xml:space="preserve">4 </w:t>
      </w:r>
      <w:r>
        <w:rPr>
          <w:rFonts w:hint="eastAsia" w:ascii="宋体" w:hAnsi="宋体" w:eastAsia="宋体" w:cs="宋体"/>
          <w:color w:val="auto"/>
          <w:sz w:val="21"/>
          <w:szCs w:val="21"/>
          <w:lang w:val="en-US" w:eastAsia="zh-CN"/>
        </w:rPr>
        <w:t>高速轴输入端、剪臂轴输出端采用可靠机械密封设计，整机无渗漏油，结合面、轴伸端无油迹、无滴漏。</w:t>
      </w:r>
    </w:p>
    <w:p w14:paraId="626E80E6">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Chars="0" w:firstLine="420" w:firstLineChars="200"/>
        <w:jc w:val="both"/>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3.1.5 1080剪总成齿轮箱</w:t>
      </w:r>
      <w:r>
        <w:rPr>
          <w:rFonts w:hint="eastAsia" w:ascii="宋体" w:hAnsi="宋体" w:eastAsia="宋体" w:cs="宋体"/>
          <w:color w:val="auto"/>
          <w:sz w:val="21"/>
          <w:szCs w:val="21"/>
          <w:lang w:val="en-US" w:eastAsia="zh-CN"/>
        </w:rPr>
        <w:t>润滑管路布置在箱体内部，进出油管位置按甲方提供的要求更改。所有设备配管按图纸和规范进行，要求平直、整齐，弯管处要圆滑，管子用管卡子固定，布置要合理，方便检修拆卸，管子直径的变化不允许超过相应的规范要求。设备中的润滑配管必须进行处理，达到相应的清洁度要求，并提供最终的检查记录。</w:t>
      </w:r>
    </w:p>
    <w:p w14:paraId="308ABEAD">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Chars="0" w:firstLine="420" w:firstLineChars="200"/>
        <w:jc w:val="both"/>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 xml:space="preserve">3.1.6 </w:t>
      </w:r>
      <w:r>
        <w:rPr>
          <w:rFonts w:hint="eastAsia" w:ascii="宋体" w:hAnsi="宋体" w:eastAsia="宋体" w:cs="宋体"/>
          <w:color w:val="auto"/>
          <w:sz w:val="21"/>
          <w:szCs w:val="21"/>
          <w:lang w:val="en-US" w:eastAsia="zh-CN"/>
        </w:rPr>
        <w:t>严格遵循摩根原厂装配工艺，锥面配合、过盈配合采用液压装拆，</w:t>
      </w:r>
      <w:r>
        <w:rPr>
          <w:rFonts w:hint="eastAsia" w:ascii="宋体" w:hAnsi="宋体" w:cs="宋体"/>
          <w:color w:val="auto"/>
          <w:sz w:val="21"/>
          <w:szCs w:val="21"/>
          <w:lang w:val="en-US" w:eastAsia="zh-CN"/>
        </w:rPr>
        <w:t>锥面</w:t>
      </w:r>
      <w:r>
        <w:rPr>
          <w:rFonts w:hint="eastAsia" w:ascii="宋体" w:hAnsi="宋体" w:eastAsia="宋体" w:cs="宋体"/>
          <w:color w:val="auto"/>
          <w:sz w:val="21"/>
          <w:szCs w:val="21"/>
          <w:lang w:val="en-US" w:eastAsia="zh-CN"/>
        </w:rPr>
        <w:t>接触面积≥90%；轴系对中、齿侧间隙、轴承预紧量按标准控制；去除全部毛刺锐边，清洁度达到轧线重载设备等级。1</w:t>
      </w:r>
      <w:r>
        <w:rPr>
          <w:rFonts w:hint="eastAsia" w:ascii="宋体" w:hAnsi="宋体" w:cs="宋体"/>
          <w:color w:val="auto"/>
          <w:sz w:val="21"/>
          <w:szCs w:val="21"/>
          <w:lang w:val="en-US" w:eastAsia="zh-CN"/>
        </w:rPr>
        <w:t>080剪总成</w:t>
      </w:r>
      <w:r>
        <w:rPr>
          <w:rFonts w:hint="eastAsia" w:ascii="宋体" w:hAnsi="宋体" w:eastAsia="宋体" w:cs="宋体"/>
          <w:color w:val="auto"/>
          <w:sz w:val="21"/>
          <w:szCs w:val="21"/>
          <w:lang w:val="en-US" w:eastAsia="zh-CN"/>
        </w:rPr>
        <w:t>装配后出具装配数据报告，待甲方确认后发货。</w:t>
      </w:r>
    </w:p>
    <w:p w14:paraId="32DB5964">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Chars="0" w:firstLine="420" w:firstLineChars="200"/>
        <w:jc w:val="both"/>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3.1.7 1080剪总成</w:t>
      </w:r>
      <w:r>
        <w:rPr>
          <w:rFonts w:hint="eastAsia" w:ascii="宋体" w:hAnsi="宋体" w:eastAsia="宋体" w:cs="宋体"/>
          <w:color w:val="auto"/>
          <w:sz w:val="21"/>
          <w:szCs w:val="21"/>
          <w:lang w:val="en-US" w:eastAsia="zh-CN"/>
        </w:rPr>
        <w:t>箱体醒目位置固定金属铭牌，标注设备型号、名称、中心距、传动比、出厂编号、制造日期</w:t>
      </w:r>
      <w:r>
        <w:rPr>
          <w:rFonts w:hint="eastAsia" w:ascii="宋体" w:hAnsi="宋体" w:cs="宋体"/>
          <w:color w:val="auto"/>
          <w:sz w:val="21"/>
          <w:szCs w:val="21"/>
          <w:lang w:val="en-US" w:eastAsia="zh-CN"/>
        </w:rPr>
        <w:t>。</w:t>
      </w:r>
    </w:p>
    <w:p w14:paraId="06C33FD7">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Chars="0" w:firstLine="420" w:firstLineChars="200"/>
        <w:jc w:val="both"/>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3.1.8 1080剪总成</w:t>
      </w:r>
      <w:r>
        <w:rPr>
          <w:rFonts w:hint="eastAsia" w:ascii="宋体" w:hAnsi="宋体" w:eastAsia="宋体" w:cs="宋体"/>
          <w:color w:val="auto"/>
          <w:sz w:val="21"/>
          <w:szCs w:val="21"/>
          <w:lang w:val="sq-AL" w:eastAsia="zh-CN"/>
        </w:rPr>
        <w:t>在线使用周期保证在</w:t>
      </w:r>
      <w:r>
        <w:rPr>
          <w:rFonts w:hint="eastAsia" w:ascii="宋体" w:hAnsi="宋体" w:cs="宋体"/>
          <w:color w:val="auto"/>
          <w:sz w:val="21"/>
          <w:szCs w:val="21"/>
          <w:lang w:val="en-US" w:eastAsia="zh-CN"/>
        </w:rPr>
        <w:t>12</w:t>
      </w:r>
      <w:r>
        <w:rPr>
          <w:rFonts w:hint="eastAsia" w:ascii="宋体" w:hAnsi="宋体" w:eastAsia="宋体" w:cs="宋体"/>
          <w:color w:val="auto"/>
          <w:sz w:val="21"/>
          <w:szCs w:val="21"/>
          <w:lang w:val="en-US" w:eastAsia="zh-CN"/>
        </w:rPr>
        <w:t>个月，齿轮</w:t>
      </w:r>
      <w:r>
        <w:rPr>
          <w:rFonts w:hint="eastAsia" w:ascii="宋体" w:hAnsi="宋体" w:eastAsia="宋体" w:cs="宋体"/>
          <w:color w:val="auto"/>
          <w:sz w:val="21"/>
          <w:szCs w:val="21"/>
          <w:lang w:val="sq-AL" w:eastAsia="zh-CN"/>
        </w:rPr>
        <w:t>质量保证期</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sq-AL" w:eastAsia="zh-CN"/>
        </w:rPr>
        <w:t>年</w:t>
      </w:r>
      <w:r>
        <w:rPr>
          <w:rFonts w:hint="eastAsia" w:ascii="宋体" w:hAnsi="宋体" w:cs="宋体"/>
          <w:color w:val="auto"/>
          <w:sz w:val="21"/>
          <w:szCs w:val="21"/>
          <w:lang w:val="sq-AL" w:eastAsia="zh-CN"/>
        </w:rPr>
        <w:t>以上</w:t>
      </w:r>
      <w:r>
        <w:rPr>
          <w:rFonts w:hint="eastAsia" w:ascii="宋体" w:hAnsi="宋体" w:eastAsia="宋体" w:cs="宋体"/>
          <w:color w:val="auto"/>
          <w:sz w:val="21"/>
          <w:szCs w:val="21"/>
          <w:lang w:val="en-US" w:eastAsia="zh-CN"/>
        </w:rPr>
        <w:t>。</w:t>
      </w:r>
    </w:p>
    <w:p w14:paraId="3A6FE642">
      <w:pPr>
        <w:keepNext w:val="0"/>
        <w:keepLines w:val="0"/>
        <w:pageBreakBefore w:val="0"/>
        <w:widowControl w:val="0"/>
        <w:numPr>
          <w:ilvl w:val="0"/>
          <w:numId w:val="4"/>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0" w:leftChars="0" w:firstLine="0" w:firstLineChars="0"/>
        <w:jc w:val="both"/>
        <w:textAlignment w:val="auto"/>
        <w:rPr>
          <w:rFonts w:hint="eastAsia" w:ascii="宋体" w:hAnsi="宋体" w:eastAsia="宋体" w:cs="宋体"/>
          <w:b/>
          <w:bCs/>
          <w:sz w:val="21"/>
          <w:szCs w:val="21"/>
          <w:lang w:val="sq-AL" w:eastAsia="zh-CN"/>
        </w:rPr>
      </w:pPr>
      <w:r>
        <w:rPr>
          <w:rFonts w:hint="eastAsia" w:ascii="宋体" w:hAnsi="宋体" w:eastAsia="宋体" w:cs="宋体"/>
          <w:b/>
          <w:bCs/>
          <w:sz w:val="21"/>
          <w:szCs w:val="21"/>
          <w:lang w:val="sq-AL" w:eastAsia="zh-CN"/>
        </w:rPr>
        <w:t>外观质量要求</w:t>
      </w:r>
    </w:p>
    <w:p w14:paraId="2335F52F">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Chars="0" w:firstLine="420" w:firstLineChars="20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sq-AL" w:eastAsia="zh-CN"/>
        </w:rPr>
        <w:t>设备出厂前的涂装技术要求按《涂装通用技术条件》JB/T5000.12执行，面漆颜色按照买方提供的色标（绿色）要求统一执行。</w:t>
      </w:r>
    </w:p>
    <w:p w14:paraId="56F0D675">
      <w:pPr>
        <w:keepNext w:val="0"/>
        <w:keepLines w:val="0"/>
        <w:pageBreakBefore w:val="0"/>
        <w:widowControl w:val="0"/>
        <w:numPr>
          <w:ilvl w:val="0"/>
          <w:numId w:val="4"/>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0" w:leftChars="0" w:firstLine="0" w:firstLineChars="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质量验收</w:t>
      </w:r>
    </w:p>
    <w:p w14:paraId="2B688B6A">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Chars="0" w:firstLine="420" w:firstLineChars="200"/>
        <w:jc w:val="both"/>
        <w:textAlignment w:val="auto"/>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3.3.1验收标准</w:t>
      </w:r>
    </w:p>
    <w:p w14:paraId="6A82BEE0">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Chars="0" w:firstLine="420" w:firstLineChars="200"/>
        <w:jc w:val="both"/>
        <w:textAlignment w:val="auto"/>
        <w:rPr>
          <w:rFonts w:hint="eastAsia" w:ascii="宋体" w:hAnsi="宋体" w:cs="宋体"/>
          <w:color w:val="auto"/>
          <w:sz w:val="21"/>
          <w:szCs w:val="21"/>
          <w:lang w:val="en-US" w:eastAsia="zh-CN"/>
        </w:rPr>
      </w:pPr>
      <w:r>
        <w:rPr>
          <w:rFonts w:hint="eastAsia" w:ascii="宋体" w:hAnsi="宋体" w:cs="宋体"/>
          <w:color w:val="auto"/>
          <w:sz w:val="21"/>
          <w:szCs w:val="21"/>
          <w:lang w:val="sq-AL" w:eastAsia="zh-CN"/>
        </w:rPr>
        <w:t>热装轴承时轴承内圈必须紧贴轴肩，0.05mm塞尺检查不得通过；涂红丹检查：</w:t>
      </w:r>
      <w:r>
        <w:rPr>
          <w:rFonts w:hint="eastAsia" w:ascii="宋体" w:hAnsi="宋体" w:cs="宋体"/>
          <w:color w:val="auto"/>
          <w:sz w:val="21"/>
          <w:szCs w:val="21"/>
          <w:lang w:val="en-US" w:eastAsia="zh-CN"/>
        </w:rPr>
        <w:t>齿轮副啮合斑点沿齿高方向不小于60%，沿齿长方向应不少于70%，啮合部位分布位置趋近于齿面中部；</w:t>
      </w:r>
      <w:r>
        <w:rPr>
          <w:rFonts w:hint="eastAsia" w:ascii="宋体" w:hAnsi="宋体" w:cs="宋体"/>
          <w:color w:val="auto"/>
          <w:sz w:val="21"/>
          <w:szCs w:val="21"/>
          <w:lang w:val="sq-AL" w:eastAsia="zh-CN"/>
        </w:rPr>
        <w:t>调整各级轴承间隙，通过压钎法或打表法检查齿轮侧隙，剪刃间隙</w:t>
      </w:r>
      <w:r>
        <w:rPr>
          <w:rFonts w:hint="eastAsia" w:ascii="宋体" w:hAnsi="宋体" w:cs="宋体"/>
          <w:color w:val="auto"/>
          <w:sz w:val="21"/>
          <w:szCs w:val="21"/>
          <w:lang w:val="en-US" w:eastAsia="zh-CN"/>
        </w:rPr>
        <w:t>0.2-0.3mm，剪刃重叠量1.2-1.5mm。</w:t>
      </w:r>
    </w:p>
    <w:p w14:paraId="693FD814">
      <w:pPr>
        <w:keepNext w:val="0"/>
        <w:keepLines w:val="0"/>
        <w:pageBreakBefore w:val="0"/>
        <w:widowControl w:val="0"/>
        <w:numPr>
          <w:ilvl w:val="0"/>
          <w:numId w:val="4"/>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0" w:leftChars="0" w:firstLine="0" w:firstLineChars="0"/>
        <w:jc w:val="both"/>
        <w:textAlignment w:val="auto"/>
        <w:rPr>
          <w:rFonts w:hint="eastAsia" w:ascii="宋体" w:hAnsi="宋体" w:eastAsia="宋体" w:cs="宋体"/>
          <w:b/>
          <w:bCs/>
          <w:sz w:val="21"/>
          <w:szCs w:val="21"/>
          <w:lang w:val="sq-AL" w:eastAsia="zh-CN"/>
        </w:rPr>
      </w:pPr>
      <w:r>
        <w:rPr>
          <w:rFonts w:hint="eastAsia" w:ascii="宋体" w:hAnsi="宋体" w:eastAsia="宋体" w:cs="宋体"/>
          <w:b/>
          <w:bCs/>
          <w:sz w:val="21"/>
          <w:szCs w:val="21"/>
          <w:lang w:val="sq-AL" w:eastAsia="zh-CN"/>
        </w:rPr>
        <w:t>出厂前空负荷试验</w:t>
      </w:r>
    </w:p>
    <w:p w14:paraId="1B00B6E7">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leftChars="0" w:firstLine="420" w:firstLineChars="200"/>
        <w:jc w:val="both"/>
        <w:textAlignment w:val="auto"/>
        <w:rPr>
          <w:rFonts w:hint="eastAsia" w:ascii="宋体" w:hAnsi="宋体" w:cs="宋体"/>
          <w:color w:val="auto"/>
          <w:sz w:val="21"/>
          <w:szCs w:val="21"/>
          <w:lang w:val="sq-AL" w:eastAsia="zh-CN"/>
        </w:rPr>
      </w:pPr>
      <w:r>
        <w:rPr>
          <w:rFonts w:hint="eastAsia" w:ascii="宋体" w:hAnsi="宋体" w:cs="宋体"/>
          <w:color w:val="auto"/>
          <w:sz w:val="21"/>
          <w:szCs w:val="21"/>
          <w:lang w:val="sq-AL" w:eastAsia="zh-CN"/>
        </w:rPr>
        <w:t>卖方须完成整机空载试验、负载试验、密封性试验、温升与振动测试，出具完整试验报告。试验前提前48小时通知买方监造，买方有权到场见证。试验项目包括：空载运转2小时、额定负载连续运转4小时、振动噪声检测、油温油压检测、密封无渗漏验证。试验时，应注入足够的润滑油。空载试验应符合以下要求：</w:t>
      </w:r>
    </w:p>
    <w:p w14:paraId="7C2BDA10">
      <w:pPr>
        <w:keepNext w:val="0"/>
        <w:keepLines w:val="0"/>
        <w:pageBreakBefore w:val="0"/>
        <w:widowControl w:val="0"/>
        <w:numPr>
          <w:ilvl w:val="0"/>
          <w:numId w:val="5"/>
        </w:numPr>
        <w:tabs>
          <w:tab w:val="left" w:pos="540"/>
          <w:tab w:val="left" w:pos="720"/>
          <w:tab w:val="left" w:pos="1080"/>
        </w:tabs>
        <w:kinsoku/>
        <w:wordWrap/>
        <w:overflowPunct/>
        <w:topLinePunct w:val="0"/>
        <w:autoSpaceDE/>
        <w:autoSpaceDN/>
        <w:bidi w:val="0"/>
        <w:adjustRightInd/>
        <w:snapToGrid/>
        <w:spacing w:before="0" w:beforeAutospacing="0" w:after="0" w:afterAutospacing="0" w:line="240" w:lineRule="auto"/>
        <w:ind w:firstLine="420" w:firstLineChars="200"/>
        <w:jc w:val="both"/>
        <w:textAlignment w:val="auto"/>
        <w:rPr>
          <w:rFonts w:hint="eastAsia" w:ascii="宋体" w:hAnsi="宋体" w:cs="宋体"/>
          <w:color w:val="auto"/>
          <w:sz w:val="21"/>
          <w:szCs w:val="21"/>
          <w:lang w:val="sq-AL" w:eastAsia="zh-CN"/>
        </w:rPr>
      </w:pPr>
      <w:r>
        <w:rPr>
          <w:rFonts w:hint="eastAsia" w:ascii="宋体" w:hAnsi="宋体" w:cs="宋体"/>
          <w:color w:val="auto"/>
          <w:sz w:val="21"/>
          <w:szCs w:val="21"/>
          <w:lang w:val="sq-AL" w:eastAsia="zh-CN"/>
        </w:rPr>
        <w:t>各连接件、紧固件不松动。(2)运转平稳无冲击。(3)各密封处接合处无漏油现象。(4)运转后拆开，检查各级齿面接触情况。(5)测齿轮机座工作时噪声、振动；轴承温度与油温；齿面接触率、齿面损坏及其他。各测试项目应满足设计要求，如下表：</w:t>
      </w:r>
    </w:p>
    <w:tbl>
      <w:tblPr>
        <w:tblStyle w:val="22"/>
        <w:tblpPr w:leftFromText="180" w:rightFromText="180" w:vertAnchor="text" w:horzAnchor="page" w:tblpX="1497" w:tblpY="173"/>
        <w:tblOverlap w:val="never"/>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933"/>
        <w:gridCol w:w="3030"/>
        <w:gridCol w:w="3105"/>
        <w:gridCol w:w="2060"/>
      </w:tblGrid>
      <w:tr w14:paraId="4F4687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02" w:hRule="atLeast"/>
        </w:trPr>
        <w:tc>
          <w:tcPr>
            <w:tcW w:w="511" w:type="pct"/>
            <w:noWrap w:val="0"/>
            <w:vAlign w:val="top"/>
          </w:tcPr>
          <w:p w14:paraId="2601813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jc w:val="both"/>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序号</w:t>
            </w:r>
          </w:p>
        </w:tc>
        <w:tc>
          <w:tcPr>
            <w:tcW w:w="1659" w:type="pct"/>
            <w:noWrap w:val="0"/>
            <w:vAlign w:val="top"/>
          </w:tcPr>
          <w:p w14:paraId="1B5ED29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jc w:val="both"/>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检测项目</w:t>
            </w:r>
          </w:p>
        </w:tc>
        <w:tc>
          <w:tcPr>
            <w:tcW w:w="1700" w:type="pct"/>
            <w:noWrap w:val="0"/>
            <w:vAlign w:val="top"/>
          </w:tcPr>
          <w:p w14:paraId="0D3C77B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jc w:val="both"/>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设计要求</w:t>
            </w:r>
          </w:p>
        </w:tc>
        <w:tc>
          <w:tcPr>
            <w:tcW w:w="1128" w:type="pct"/>
            <w:noWrap w:val="0"/>
            <w:vAlign w:val="top"/>
          </w:tcPr>
          <w:p w14:paraId="5487519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jc w:val="both"/>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备注</w:t>
            </w:r>
          </w:p>
        </w:tc>
      </w:tr>
      <w:tr w14:paraId="68FA15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245" w:hRule="atLeast"/>
        </w:trPr>
        <w:tc>
          <w:tcPr>
            <w:tcW w:w="511" w:type="pct"/>
            <w:noWrap w:val="0"/>
            <w:vAlign w:val="top"/>
          </w:tcPr>
          <w:p w14:paraId="35837B4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w:t>
            </w:r>
          </w:p>
        </w:tc>
        <w:tc>
          <w:tcPr>
            <w:tcW w:w="1659" w:type="pct"/>
            <w:noWrap w:val="0"/>
            <w:vAlign w:val="top"/>
          </w:tcPr>
          <w:p w14:paraId="58CC60E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jc w:val="both"/>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噪声</w:t>
            </w:r>
          </w:p>
        </w:tc>
        <w:tc>
          <w:tcPr>
            <w:tcW w:w="1700" w:type="pct"/>
            <w:noWrap w:val="0"/>
            <w:vAlign w:val="top"/>
          </w:tcPr>
          <w:p w14:paraId="4982D83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jc w:val="both"/>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≤85 dB(A)</w:t>
            </w:r>
          </w:p>
        </w:tc>
        <w:tc>
          <w:tcPr>
            <w:tcW w:w="1128" w:type="pct"/>
            <w:noWrap w:val="0"/>
            <w:vAlign w:val="top"/>
          </w:tcPr>
          <w:p w14:paraId="1B5E67D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jc w:val="both"/>
              <w:textAlignment w:val="auto"/>
              <w:rPr>
                <w:rFonts w:hint="eastAsia" w:ascii="宋体" w:hAnsi="宋体" w:eastAsia="宋体" w:cs="宋体"/>
                <w:color w:val="auto"/>
                <w:sz w:val="18"/>
                <w:szCs w:val="18"/>
                <w:lang w:val="en-US" w:eastAsia="zh-CN"/>
              </w:rPr>
            </w:pPr>
          </w:p>
        </w:tc>
      </w:tr>
      <w:tr w14:paraId="4CFCF7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15" w:hRule="atLeast"/>
        </w:trPr>
        <w:tc>
          <w:tcPr>
            <w:tcW w:w="511" w:type="pct"/>
            <w:tcBorders>
              <w:bottom w:val="single" w:color="auto" w:sz="4" w:space="0"/>
            </w:tcBorders>
            <w:noWrap w:val="0"/>
            <w:vAlign w:val="top"/>
          </w:tcPr>
          <w:p w14:paraId="3AF40E3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2</w:t>
            </w:r>
          </w:p>
        </w:tc>
        <w:tc>
          <w:tcPr>
            <w:tcW w:w="1659" w:type="pct"/>
            <w:tcBorders>
              <w:bottom w:val="single" w:color="auto" w:sz="4" w:space="0"/>
            </w:tcBorders>
            <w:noWrap w:val="0"/>
            <w:vAlign w:val="top"/>
          </w:tcPr>
          <w:p w14:paraId="0D2E809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jc w:val="both"/>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单向振动</w:t>
            </w:r>
          </w:p>
        </w:tc>
        <w:tc>
          <w:tcPr>
            <w:tcW w:w="1700" w:type="pct"/>
            <w:tcBorders>
              <w:bottom w:val="single" w:color="auto" w:sz="4" w:space="0"/>
            </w:tcBorders>
            <w:noWrap w:val="0"/>
            <w:vAlign w:val="top"/>
          </w:tcPr>
          <w:p w14:paraId="35D121F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jc w:val="both"/>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  2 mm/s</w:t>
            </w:r>
          </w:p>
        </w:tc>
        <w:tc>
          <w:tcPr>
            <w:tcW w:w="1128" w:type="pct"/>
            <w:tcBorders>
              <w:bottom w:val="single" w:color="auto" w:sz="4" w:space="0"/>
            </w:tcBorders>
            <w:noWrap w:val="0"/>
            <w:vAlign w:val="top"/>
          </w:tcPr>
          <w:p w14:paraId="70C83CD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jc w:val="both"/>
              <w:textAlignment w:val="auto"/>
              <w:rPr>
                <w:rFonts w:hint="eastAsia" w:ascii="宋体" w:hAnsi="宋体" w:eastAsia="宋体" w:cs="宋体"/>
                <w:color w:val="auto"/>
                <w:sz w:val="18"/>
                <w:szCs w:val="18"/>
                <w:lang w:val="en-US" w:eastAsia="zh-CN"/>
              </w:rPr>
            </w:pPr>
          </w:p>
        </w:tc>
      </w:tr>
      <w:tr w14:paraId="1F372B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81" w:hRule="atLeast"/>
        </w:trPr>
        <w:tc>
          <w:tcPr>
            <w:tcW w:w="511" w:type="pct"/>
            <w:noWrap w:val="0"/>
            <w:vAlign w:val="top"/>
          </w:tcPr>
          <w:p w14:paraId="2DFB0B6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jc w:val="center"/>
              <w:textAlignment w:val="auto"/>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3</w:t>
            </w:r>
          </w:p>
        </w:tc>
        <w:tc>
          <w:tcPr>
            <w:tcW w:w="1659" w:type="pct"/>
            <w:noWrap w:val="0"/>
            <w:vAlign w:val="top"/>
          </w:tcPr>
          <w:p w14:paraId="6894CEA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jc w:val="both"/>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伞齿齿面接触斑点</w:t>
            </w:r>
          </w:p>
        </w:tc>
        <w:tc>
          <w:tcPr>
            <w:tcW w:w="1700" w:type="pct"/>
            <w:noWrap w:val="0"/>
            <w:vAlign w:val="top"/>
          </w:tcPr>
          <w:p w14:paraId="4C9CDFF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jc w:val="both"/>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沿齿长不小于</w:t>
            </w:r>
            <w:r>
              <w:rPr>
                <w:rFonts w:hint="eastAsia" w:ascii="宋体" w:hAnsi="宋体" w:cs="宋体"/>
                <w:color w:val="auto"/>
                <w:sz w:val="18"/>
                <w:szCs w:val="18"/>
                <w:lang w:val="en-US" w:eastAsia="zh-CN"/>
              </w:rPr>
              <w:t>70</w:t>
            </w:r>
            <w:r>
              <w:rPr>
                <w:rFonts w:hint="eastAsia" w:ascii="宋体" w:hAnsi="宋体" w:eastAsia="宋体" w:cs="宋体"/>
                <w:color w:val="auto"/>
                <w:sz w:val="18"/>
                <w:szCs w:val="18"/>
                <w:lang w:val="en-US" w:eastAsia="zh-CN"/>
              </w:rPr>
              <w:t>%</w:t>
            </w:r>
            <w:r>
              <w:rPr>
                <w:rFonts w:hint="eastAsia" w:ascii="宋体" w:hAnsi="宋体" w:cs="宋体"/>
                <w:color w:val="auto"/>
                <w:sz w:val="18"/>
                <w:szCs w:val="18"/>
                <w:lang w:val="en-US" w:eastAsia="zh-CN"/>
              </w:rPr>
              <w:t>，</w:t>
            </w:r>
            <w:r>
              <w:rPr>
                <w:rFonts w:hint="eastAsia" w:ascii="宋体" w:hAnsi="宋体" w:eastAsia="宋体" w:cs="宋体"/>
                <w:color w:val="auto"/>
                <w:sz w:val="18"/>
                <w:szCs w:val="18"/>
                <w:lang w:val="en-US" w:eastAsia="zh-CN"/>
              </w:rPr>
              <w:t>沿齿高不小于</w:t>
            </w:r>
            <w:r>
              <w:rPr>
                <w:rFonts w:hint="eastAsia" w:ascii="宋体" w:hAnsi="宋体" w:cs="宋体"/>
                <w:color w:val="auto"/>
                <w:sz w:val="18"/>
                <w:szCs w:val="18"/>
                <w:lang w:val="en-US" w:eastAsia="zh-CN"/>
              </w:rPr>
              <w:t>6</w:t>
            </w:r>
            <w:r>
              <w:rPr>
                <w:rFonts w:hint="eastAsia" w:ascii="宋体" w:hAnsi="宋体" w:eastAsia="宋体" w:cs="宋体"/>
                <w:color w:val="auto"/>
                <w:sz w:val="18"/>
                <w:szCs w:val="18"/>
                <w:lang w:val="en-US" w:eastAsia="zh-CN"/>
              </w:rPr>
              <w:t>0%</w:t>
            </w:r>
          </w:p>
        </w:tc>
        <w:tc>
          <w:tcPr>
            <w:tcW w:w="1128" w:type="pct"/>
            <w:noWrap w:val="0"/>
            <w:vAlign w:val="top"/>
          </w:tcPr>
          <w:p w14:paraId="33614CF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jc w:val="both"/>
              <w:textAlignment w:val="auto"/>
              <w:rPr>
                <w:rFonts w:hint="eastAsia" w:ascii="宋体" w:hAnsi="宋体" w:eastAsia="宋体" w:cs="宋体"/>
                <w:color w:val="auto"/>
                <w:sz w:val="18"/>
                <w:szCs w:val="18"/>
                <w:lang w:val="en-US" w:eastAsia="zh-CN"/>
              </w:rPr>
            </w:pPr>
          </w:p>
        </w:tc>
      </w:tr>
      <w:tr w14:paraId="123436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81" w:hRule="atLeast"/>
        </w:trPr>
        <w:tc>
          <w:tcPr>
            <w:tcW w:w="511" w:type="pct"/>
            <w:noWrap w:val="0"/>
            <w:vAlign w:val="top"/>
          </w:tcPr>
          <w:p w14:paraId="6918A8B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jc w:val="center"/>
              <w:textAlignment w:val="auto"/>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4</w:t>
            </w:r>
          </w:p>
        </w:tc>
        <w:tc>
          <w:tcPr>
            <w:tcW w:w="1659" w:type="pct"/>
            <w:noWrap w:val="0"/>
            <w:vAlign w:val="top"/>
          </w:tcPr>
          <w:p w14:paraId="767D23C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jc w:val="both"/>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轴承温升</w:t>
            </w:r>
          </w:p>
        </w:tc>
        <w:tc>
          <w:tcPr>
            <w:tcW w:w="1700" w:type="pct"/>
            <w:noWrap w:val="0"/>
            <w:vAlign w:val="top"/>
          </w:tcPr>
          <w:p w14:paraId="00754DA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jc w:val="both"/>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sym w:font="Symbol" w:char="F03C"/>
            </w:r>
            <w:r>
              <w:rPr>
                <w:rFonts w:hint="eastAsia" w:ascii="宋体" w:hAnsi="宋体" w:eastAsia="宋体" w:cs="宋体"/>
                <w:color w:val="auto"/>
                <w:sz w:val="18"/>
                <w:szCs w:val="18"/>
                <w:lang w:val="en-US" w:eastAsia="zh-CN"/>
              </w:rPr>
              <w:t>40</w:t>
            </w:r>
            <w:r>
              <w:rPr>
                <w:rFonts w:hint="eastAsia" w:ascii="宋体" w:hAnsi="宋体" w:eastAsia="宋体" w:cs="宋体"/>
                <w:color w:val="auto"/>
                <w:sz w:val="18"/>
                <w:szCs w:val="18"/>
                <w:lang w:val="en-US" w:eastAsia="zh-CN"/>
              </w:rPr>
              <w:sym w:font="Symbol" w:char="F0B0"/>
            </w:r>
            <w:r>
              <w:rPr>
                <w:rFonts w:hint="eastAsia" w:ascii="宋体" w:hAnsi="宋体" w:eastAsia="宋体" w:cs="宋体"/>
                <w:color w:val="auto"/>
                <w:sz w:val="18"/>
                <w:szCs w:val="18"/>
                <w:lang w:val="en-US" w:eastAsia="zh-CN"/>
              </w:rPr>
              <w:t>C</w:t>
            </w:r>
          </w:p>
        </w:tc>
        <w:tc>
          <w:tcPr>
            <w:tcW w:w="1128" w:type="pct"/>
            <w:noWrap w:val="0"/>
            <w:vAlign w:val="top"/>
          </w:tcPr>
          <w:p w14:paraId="12660E4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jc w:val="both"/>
              <w:textAlignment w:val="auto"/>
              <w:rPr>
                <w:rFonts w:hint="eastAsia" w:ascii="宋体" w:hAnsi="宋体" w:eastAsia="宋体" w:cs="宋体"/>
                <w:color w:val="auto"/>
                <w:sz w:val="18"/>
                <w:szCs w:val="18"/>
                <w:lang w:val="en-US" w:eastAsia="zh-CN"/>
              </w:rPr>
            </w:pPr>
          </w:p>
        </w:tc>
      </w:tr>
      <w:tr w14:paraId="69151A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81" w:hRule="atLeast"/>
        </w:trPr>
        <w:tc>
          <w:tcPr>
            <w:tcW w:w="511" w:type="pct"/>
            <w:noWrap w:val="0"/>
            <w:vAlign w:val="top"/>
          </w:tcPr>
          <w:p w14:paraId="6D3658A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jc w:val="center"/>
              <w:textAlignment w:val="auto"/>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5</w:t>
            </w:r>
          </w:p>
        </w:tc>
        <w:tc>
          <w:tcPr>
            <w:tcW w:w="1659" w:type="pct"/>
            <w:noWrap w:val="0"/>
            <w:vAlign w:val="top"/>
          </w:tcPr>
          <w:p w14:paraId="1844ABE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jc w:val="both"/>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轴承最高温度</w:t>
            </w:r>
          </w:p>
        </w:tc>
        <w:tc>
          <w:tcPr>
            <w:tcW w:w="1700" w:type="pct"/>
            <w:noWrap w:val="0"/>
            <w:vAlign w:val="top"/>
          </w:tcPr>
          <w:p w14:paraId="2417207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jc w:val="both"/>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≤65</w:t>
            </w:r>
            <w:r>
              <w:rPr>
                <w:rFonts w:hint="eastAsia" w:ascii="宋体" w:hAnsi="宋体" w:eastAsia="宋体" w:cs="宋体"/>
                <w:color w:val="auto"/>
                <w:sz w:val="18"/>
                <w:szCs w:val="18"/>
                <w:lang w:val="en-US" w:eastAsia="zh-CN"/>
              </w:rPr>
              <w:sym w:font="Symbol" w:char="F0B0"/>
            </w:r>
            <w:r>
              <w:rPr>
                <w:rFonts w:hint="eastAsia" w:ascii="宋体" w:hAnsi="宋体" w:eastAsia="宋体" w:cs="宋体"/>
                <w:color w:val="auto"/>
                <w:sz w:val="18"/>
                <w:szCs w:val="18"/>
                <w:lang w:val="en-US" w:eastAsia="zh-CN"/>
              </w:rPr>
              <w:t>C</w:t>
            </w:r>
          </w:p>
        </w:tc>
        <w:tc>
          <w:tcPr>
            <w:tcW w:w="1128" w:type="pct"/>
            <w:noWrap w:val="0"/>
            <w:vAlign w:val="top"/>
          </w:tcPr>
          <w:p w14:paraId="363CC44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jc w:val="both"/>
              <w:textAlignment w:val="auto"/>
              <w:rPr>
                <w:rFonts w:hint="eastAsia" w:ascii="宋体" w:hAnsi="宋体" w:eastAsia="宋体" w:cs="宋体"/>
                <w:color w:val="auto"/>
                <w:sz w:val="18"/>
                <w:szCs w:val="18"/>
                <w:lang w:val="en-US" w:eastAsia="zh-CN"/>
              </w:rPr>
            </w:pPr>
          </w:p>
        </w:tc>
      </w:tr>
      <w:tr w14:paraId="31B20E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94" w:hRule="atLeast"/>
        </w:trPr>
        <w:tc>
          <w:tcPr>
            <w:tcW w:w="511" w:type="pct"/>
            <w:noWrap w:val="0"/>
            <w:vAlign w:val="top"/>
          </w:tcPr>
          <w:p w14:paraId="732A3E6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jc w:val="center"/>
              <w:textAlignment w:val="auto"/>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6</w:t>
            </w:r>
          </w:p>
        </w:tc>
        <w:tc>
          <w:tcPr>
            <w:tcW w:w="1659" w:type="pct"/>
            <w:noWrap w:val="0"/>
            <w:vAlign w:val="top"/>
          </w:tcPr>
          <w:p w14:paraId="6E21817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jc w:val="both"/>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各结合面渗漏情况</w:t>
            </w:r>
          </w:p>
        </w:tc>
        <w:tc>
          <w:tcPr>
            <w:tcW w:w="1700" w:type="pct"/>
            <w:noWrap w:val="0"/>
            <w:vAlign w:val="top"/>
          </w:tcPr>
          <w:p w14:paraId="0B93099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jc w:val="both"/>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不得渗漏油</w:t>
            </w:r>
          </w:p>
        </w:tc>
        <w:tc>
          <w:tcPr>
            <w:tcW w:w="1128" w:type="pct"/>
            <w:noWrap w:val="0"/>
            <w:vAlign w:val="top"/>
          </w:tcPr>
          <w:p w14:paraId="01B406D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jc w:val="both"/>
              <w:textAlignment w:val="auto"/>
              <w:rPr>
                <w:rFonts w:hint="eastAsia" w:ascii="宋体" w:hAnsi="宋体" w:eastAsia="宋体" w:cs="宋体"/>
                <w:color w:val="auto"/>
                <w:sz w:val="18"/>
                <w:szCs w:val="18"/>
                <w:lang w:val="en-US" w:eastAsia="zh-CN"/>
              </w:rPr>
            </w:pPr>
          </w:p>
        </w:tc>
      </w:tr>
    </w:tbl>
    <w:p w14:paraId="49AB6309">
      <w:pPr>
        <w:pStyle w:val="4"/>
        <w:keepNext/>
        <w:keepLines/>
        <w:pageBreakBefore w:val="0"/>
        <w:widowControl w:val="0"/>
        <w:kinsoku/>
        <w:wordWrap/>
        <w:overflowPunct/>
        <w:topLinePunct w:val="0"/>
        <w:autoSpaceDE/>
        <w:autoSpaceDN/>
        <w:bidi w:val="0"/>
        <w:adjustRightInd w:val="0"/>
        <w:snapToGrid/>
        <w:spacing w:before="0" w:after="0" w:line="360" w:lineRule="auto"/>
        <w:ind w:left="0" w:leftChars="0" w:firstLine="0" w:firstLineChars="0"/>
        <w:textAlignment w:val="baseline"/>
        <w:rPr>
          <w:rFonts w:hint="eastAsia"/>
          <w:b/>
          <w:sz w:val="24"/>
          <w:szCs w:val="24"/>
          <w:lang w:val="en-US" w:eastAsia="zh-CN"/>
        </w:rPr>
      </w:pPr>
      <w:r>
        <w:rPr>
          <w:rFonts w:hint="eastAsia"/>
          <w:b/>
          <w:sz w:val="24"/>
          <w:szCs w:val="24"/>
          <w:lang w:val="sq-AL" w:eastAsia="zh-CN"/>
        </w:rPr>
        <w:t>包装及运输：</w:t>
      </w:r>
    </w:p>
    <w:p w14:paraId="12AD633D">
      <w:pPr>
        <w:keepNext w:val="0"/>
        <w:keepLines w:val="0"/>
        <w:pageBreakBefore w:val="0"/>
        <w:widowControl w:val="0"/>
        <w:numPr>
          <w:ilvl w:val="0"/>
          <w:numId w:val="6"/>
        </w:numPr>
        <w:tabs>
          <w:tab w:val="left" w:pos="540"/>
          <w:tab w:val="left" w:pos="720"/>
          <w:tab w:val="left" w:pos="1080"/>
        </w:tabs>
        <w:kinsoku/>
        <w:wordWrap/>
        <w:overflowPunct/>
        <w:topLinePunct w:val="0"/>
        <w:autoSpaceDE/>
        <w:autoSpaceDN/>
        <w:bidi w:val="0"/>
        <w:adjustRightInd/>
        <w:snapToGrid/>
        <w:spacing w:beforeAutospacing="0" w:afterAutospacing="0" w:line="240" w:lineRule="auto"/>
        <w:ind w:left="0" w:leftChars="0" w:firstLine="0" w:firstLineChars="0"/>
        <w:jc w:val="both"/>
        <w:textAlignment w:val="auto"/>
        <w:rPr>
          <w:rFonts w:hint="eastAsia" w:ascii="宋体" w:hAnsi="宋体" w:eastAsia="宋体" w:cs="宋体"/>
          <w:sz w:val="21"/>
          <w:szCs w:val="21"/>
          <w:lang w:val="sq-AL" w:eastAsia="zh-CN"/>
        </w:rPr>
      </w:pPr>
      <w:r>
        <w:rPr>
          <w:rFonts w:hint="eastAsia" w:ascii="宋体" w:hAnsi="宋体" w:eastAsia="宋体" w:cs="宋体"/>
          <w:sz w:val="21"/>
          <w:szCs w:val="21"/>
          <w:lang w:val="sq-AL" w:eastAsia="zh-CN"/>
        </w:rPr>
        <w:t>设备的表面要采取防锈措施，所有</w:t>
      </w:r>
      <w:r>
        <w:rPr>
          <w:rFonts w:hint="eastAsia" w:ascii="宋体" w:hAnsi="宋体" w:eastAsia="宋体" w:cs="宋体"/>
          <w:sz w:val="21"/>
          <w:szCs w:val="21"/>
          <w:lang w:val="en-US" w:eastAsia="zh-CN"/>
        </w:rPr>
        <w:t>设备组件</w:t>
      </w:r>
      <w:r>
        <w:rPr>
          <w:rFonts w:hint="eastAsia" w:ascii="宋体" w:hAnsi="宋体" w:eastAsia="宋体" w:cs="宋体"/>
          <w:sz w:val="21"/>
          <w:szCs w:val="21"/>
          <w:lang w:val="sq-AL" w:eastAsia="zh-CN"/>
        </w:rPr>
        <w:t>应该有表面保护防止腐蚀，应该按照国际标准对防腐保护的规定清洗金属表面、底层和表面涂层，应该按照涂漆惯例和油漆制造商的数据表和说明进行涂漆。设备的涂装按照JB/T5000.12—98和YB/T036.19—92标准要求。包装按照YB/T036.21—92标准要求（但不局限于此）。乙方应承担由于其包装或其防护措施不妥而引起的货物锈蚀、损坏、丢失及任何损伤的责任及费用。</w:t>
      </w:r>
    </w:p>
    <w:p w14:paraId="5F5704DB">
      <w:pPr>
        <w:keepNext w:val="0"/>
        <w:keepLines w:val="0"/>
        <w:pageBreakBefore w:val="0"/>
        <w:widowControl w:val="0"/>
        <w:numPr>
          <w:ilvl w:val="0"/>
          <w:numId w:val="6"/>
        </w:numPr>
        <w:tabs>
          <w:tab w:val="left" w:pos="540"/>
          <w:tab w:val="left" w:pos="720"/>
          <w:tab w:val="left" w:pos="1080"/>
        </w:tabs>
        <w:kinsoku/>
        <w:wordWrap/>
        <w:overflowPunct/>
        <w:topLinePunct w:val="0"/>
        <w:autoSpaceDE/>
        <w:autoSpaceDN/>
        <w:bidi w:val="0"/>
        <w:adjustRightInd/>
        <w:snapToGrid/>
        <w:spacing w:beforeAutospacing="0" w:afterAutospacing="0" w:line="240" w:lineRule="auto"/>
        <w:ind w:left="0" w:leftChars="0" w:firstLine="0" w:firstLineChars="0"/>
        <w:jc w:val="both"/>
        <w:textAlignment w:val="auto"/>
        <w:rPr>
          <w:rFonts w:hint="eastAsia" w:ascii="宋体" w:hAnsi="宋体" w:eastAsia="宋体" w:cs="宋体"/>
          <w:sz w:val="21"/>
          <w:szCs w:val="21"/>
          <w:lang w:val="sq-AL" w:eastAsia="zh-CN"/>
        </w:rPr>
      </w:pPr>
      <w:r>
        <w:rPr>
          <w:rFonts w:hint="eastAsia" w:ascii="宋体" w:hAnsi="宋体" w:eastAsia="宋体" w:cs="宋体"/>
          <w:sz w:val="21"/>
          <w:szCs w:val="21"/>
          <w:lang w:val="sq-AL" w:eastAsia="zh-CN"/>
        </w:rPr>
        <w:t>汽车运输时固定牢靠防止碰撞损伤。</w:t>
      </w:r>
    </w:p>
    <w:p w14:paraId="24EE77E9">
      <w:pPr>
        <w:pStyle w:val="4"/>
        <w:keepNext/>
        <w:keepLines/>
        <w:pageBreakBefore w:val="0"/>
        <w:widowControl w:val="0"/>
        <w:kinsoku/>
        <w:wordWrap/>
        <w:overflowPunct/>
        <w:topLinePunct w:val="0"/>
        <w:autoSpaceDE/>
        <w:autoSpaceDN/>
        <w:bidi w:val="0"/>
        <w:adjustRightInd w:val="0"/>
        <w:snapToGrid/>
        <w:spacing w:before="0" w:after="0" w:line="360" w:lineRule="auto"/>
        <w:ind w:left="0" w:leftChars="0" w:firstLine="0" w:firstLineChars="0"/>
        <w:textAlignment w:val="baseline"/>
        <w:rPr>
          <w:rFonts w:hint="eastAsia"/>
          <w:b/>
          <w:sz w:val="24"/>
          <w:szCs w:val="24"/>
          <w:lang w:val="sq-AL" w:eastAsia="zh-CN"/>
        </w:rPr>
      </w:pPr>
      <w:r>
        <w:rPr>
          <w:rFonts w:hint="eastAsia"/>
          <w:b/>
          <w:sz w:val="24"/>
          <w:szCs w:val="24"/>
          <w:lang w:val="sq-AL" w:eastAsia="zh-CN"/>
        </w:rPr>
        <w:t>交货期及需交付的技术资料</w:t>
      </w:r>
    </w:p>
    <w:p w14:paraId="12601A41">
      <w:pPr>
        <w:keepNext w:val="0"/>
        <w:keepLines w:val="0"/>
        <w:pageBreakBefore w:val="0"/>
        <w:widowControl w:val="0"/>
        <w:kinsoku/>
        <w:wordWrap/>
        <w:overflowPunct/>
        <w:topLinePunct w:val="0"/>
        <w:autoSpaceDE/>
        <w:autoSpaceDN/>
        <w:bidi w:val="0"/>
        <w:adjustRightInd w:val="0"/>
        <w:snapToGrid/>
        <w:spacing w:before="0" w:beforeAutospacing="0" w:after="0" w:afterAutospacing="0" w:line="360" w:lineRule="auto"/>
        <w:ind w:left="0" w:firstLine="0" w:firstLineChars="0"/>
        <w:textAlignment w:val="baseline"/>
        <w:rPr>
          <w:rFonts w:hint="eastAsia" w:ascii="宋体" w:hAnsi="宋体" w:cs="Times New Roman"/>
          <w:sz w:val="21"/>
          <w:szCs w:val="21"/>
          <w:vertAlign w:val="baseline"/>
          <w:lang w:val="sq-AL" w:eastAsia="zh-CN"/>
        </w:rPr>
      </w:pPr>
      <w:r>
        <w:rPr>
          <w:rFonts w:hint="eastAsia" w:ascii="宋体" w:hAnsi="宋体" w:cs="Times New Roman"/>
          <w:sz w:val="21"/>
          <w:szCs w:val="21"/>
          <w:vertAlign w:val="baseline"/>
          <w:lang w:val="en-US" w:eastAsia="zh-CN"/>
        </w:rPr>
        <w:t>5.1</w:t>
      </w:r>
      <w:r>
        <w:rPr>
          <w:rFonts w:hint="eastAsia" w:ascii="宋体" w:hAnsi="宋体" w:cs="Times New Roman"/>
          <w:sz w:val="21"/>
          <w:szCs w:val="21"/>
          <w:vertAlign w:val="baseline"/>
          <w:lang w:val="sq-AL" w:eastAsia="zh-CN"/>
        </w:rPr>
        <w:t>交货期：严格执行合同约定。</w:t>
      </w:r>
    </w:p>
    <w:p w14:paraId="6ED60C18">
      <w:pPr>
        <w:keepNext w:val="0"/>
        <w:keepLines w:val="0"/>
        <w:pageBreakBefore w:val="0"/>
        <w:widowControl w:val="0"/>
        <w:kinsoku/>
        <w:wordWrap/>
        <w:overflowPunct/>
        <w:topLinePunct w:val="0"/>
        <w:autoSpaceDE/>
        <w:autoSpaceDN/>
        <w:bidi w:val="0"/>
        <w:adjustRightInd w:val="0"/>
        <w:snapToGrid/>
        <w:spacing w:before="0" w:beforeAutospacing="0" w:after="0" w:afterAutospacing="0" w:line="360" w:lineRule="auto"/>
        <w:ind w:left="0" w:firstLine="0" w:firstLineChars="0"/>
        <w:textAlignment w:val="baseline"/>
        <w:rPr>
          <w:rFonts w:hint="eastAsia" w:ascii="宋体" w:hAnsi="宋体" w:cs="Times New Roman"/>
          <w:sz w:val="21"/>
          <w:szCs w:val="21"/>
          <w:vertAlign w:val="baseline"/>
          <w:lang w:val="sq-AL" w:eastAsia="zh-CN"/>
        </w:rPr>
      </w:pPr>
      <w:r>
        <w:rPr>
          <w:rFonts w:hint="eastAsia" w:ascii="宋体" w:hAnsi="宋体" w:cs="Times New Roman"/>
          <w:sz w:val="21"/>
          <w:szCs w:val="21"/>
          <w:vertAlign w:val="baseline"/>
          <w:lang w:val="en-US" w:eastAsia="zh-CN"/>
        </w:rPr>
        <w:t>5.2</w:t>
      </w:r>
      <w:r>
        <w:rPr>
          <w:rFonts w:hint="eastAsia" w:ascii="宋体" w:hAnsi="宋体" w:cs="Times New Roman"/>
          <w:sz w:val="21"/>
          <w:szCs w:val="21"/>
          <w:vertAlign w:val="baseline"/>
          <w:lang w:val="sq-AL" w:eastAsia="zh-CN"/>
        </w:rPr>
        <w:t>需随机交付的技术资料及附件：</w:t>
      </w:r>
    </w:p>
    <w:p w14:paraId="50E14542">
      <w:pPr>
        <w:keepNext w:val="0"/>
        <w:keepLines w:val="0"/>
        <w:pageBreakBefore w:val="0"/>
        <w:widowControl w:val="0"/>
        <w:kinsoku/>
        <w:wordWrap/>
        <w:overflowPunct/>
        <w:topLinePunct w:val="0"/>
        <w:autoSpaceDE/>
        <w:autoSpaceDN/>
        <w:bidi w:val="0"/>
        <w:adjustRightInd w:val="0"/>
        <w:snapToGrid/>
        <w:spacing w:before="0" w:beforeAutospacing="0" w:after="0" w:afterAutospacing="0" w:line="360" w:lineRule="auto"/>
        <w:ind w:left="0" w:firstLine="0" w:firstLineChars="0"/>
        <w:textAlignment w:val="baseline"/>
        <w:rPr>
          <w:rFonts w:hint="eastAsia" w:ascii="宋体" w:hAnsi="宋体" w:cs="Times New Roman"/>
          <w:sz w:val="21"/>
          <w:szCs w:val="21"/>
          <w:vertAlign w:val="baseline"/>
          <w:lang w:val="sq-AL" w:eastAsia="zh-CN"/>
        </w:rPr>
      </w:pPr>
      <w:r>
        <w:rPr>
          <w:rFonts w:hint="eastAsia" w:ascii="宋体" w:hAnsi="宋体" w:cs="Times New Roman"/>
          <w:sz w:val="21"/>
          <w:szCs w:val="21"/>
          <w:vertAlign w:val="baseline"/>
          <w:lang w:val="en-US" w:eastAsia="zh-CN"/>
        </w:rPr>
        <w:t>（1）</w:t>
      </w:r>
      <w:r>
        <w:rPr>
          <w:rFonts w:hint="eastAsia" w:ascii="宋体" w:hAnsi="宋体" w:cs="Times New Roman"/>
          <w:sz w:val="21"/>
          <w:szCs w:val="21"/>
          <w:vertAlign w:val="baseline"/>
          <w:lang w:val="sq-AL" w:eastAsia="zh-CN"/>
        </w:rPr>
        <w:t>产品合格证3份。</w:t>
      </w:r>
    </w:p>
    <w:p w14:paraId="1C9E3773">
      <w:pPr>
        <w:keepNext w:val="0"/>
        <w:keepLines w:val="0"/>
        <w:pageBreakBefore w:val="0"/>
        <w:widowControl w:val="0"/>
        <w:kinsoku/>
        <w:wordWrap/>
        <w:overflowPunct/>
        <w:topLinePunct w:val="0"/>
        <w:autoSpaceDE/>
        <w:autoSpaceDN/>
        <w:bidi w:val="0"/>
        <w:adjustRightInd w:val="0"/>
        <w:snapToGrid/>
        <w:spacing w:before="0" w:beforeAutospacing="0" w:after="0" w:afterAutospacing="0" w:line="360" w:lineRule="auto"/>
        <w:ind w:left="0" w:firstLine="0" w:firstLineChars="0"/>
        <w:textAlignment w:val="baseline"/>
        <w:rPr>
          <w:rFonts w:hint="eastAsia" w:ascii="宋体" w:hAnsi="宋体" w:cs="Times New Roman"/>
          <w:sz w:val="21"/>
          <w:szCs w:val="21"/>
          <w:vertAlign w:val="baseline"/>
          <w:lang w:val="sq-AL" w:eastAsia="zh-CN"/>
        </w:rPr>
      </w:pPr>
      <w:r>
        <w:rPr>
          <w:rFonts w:hint="eastAsia" w:ascii="宋体" w:hAnsi="宋体" w:cs="Times New Roman"/>
          <w:sz w:val="21"/>
          <w:szCs w:val="21"/>
          <w:vertAlign w:val="baseline"/>
          <w:lang w:val="en-US" w:eastAsia="zh-CN"/>
        </w:rPr>
        <w:t>（2）</w:t>
      </w:r>
      <w:r>
        <w:rPr>
          <w:rFonts w:hint="eastAsia" w:ascii="宋体" w:hAnsi="宋体" w:cs="Times New Roman"/>
          <w:sz w:val="21"/>
          <w:szCs w:val="21"/>
          <w:vertAlign w:val="baseline"/>
          <w:lang w:val="sq-AL" w:eastAsia="zh-CN"/>
        </w:rPr>
        <w:t>产品图纸（电子版）、备件清单及安全注意事项等。</w:t>
      </w:r>
    </w:p>
    <w:p w14:paraId="38E61A28">
      <w:pPr>
        <w:keepNext w:val="0"/>
        <w:keepLines w:val="0"/>
        <w:pageBreakBefore w:val="0"/>
        <w:widowControl w:val="0"/>
        <w:kinsoku/>
        <w:wordWrap/>
        <w:overflowPunct/>
        <w:topLinePunct w:val="0"/>
        <w:autoSpaceDE/>
        <w:autoSpaceDN/>
        <w:bidi w:val="0"/>
        <w:adjustRightInd w:val="0"/>
        <w:snapToGrid/>
        <w:spacing w:before="0" w:beforeAutospacing="0" w:after="0" w:afterAutospacing="0" w:line="360" w:lineRule="auto"/>
        <w:ind w:left="0" w:firstLine="0" w:firstLineChars="0"/>
        <w:textAlignment w:val="baseline"/>
        <w:rPr>
          <w:rFonts w:hint="eastAsia" w:ascii="宋体" w:hAnsi="宋体" w:cs="Times New Roman"/>
          <w:sz w:val="21"/>
          <w:szCs w:val="21"/>
          <w:vertAlign w:val="baseline"/>
          <w:lang w:val="sq-AL" w:eastAsia="zh-CN"/>
        </w:rPr>
      </w:pPr>
      <w:r>
        <w:rPr>
          <w:rFonts w:hint="eastAsia" w:ascii="宋体" w:hAnsi="宋体" w:cs="Times New Roman"/>
          <w:sz w:val="21"/>
          <w:szCs w:val="21"/>
          <w:vertAlign w:val="baseline"/>
          <w:lang w:val="en-US" w:eastAsia="zh-CN"/>
        </w:rPr>
        <w:t>（3）</w:t>
      </w:r>
      <w:r>
        <w:rPr>
          <w:rFonts w:hint="eastAsia" w:ascii="宋体" w:hAnsi="宋体" w:cs="Times New Roman"/>
          <w:sz w:val="21"/>
          <w:szCs w:val="21"/>
          <w:vertAlign w:val="baseline"/>
          <w:lang w:val="sq-AL" w:eastAsia="zh-CN"/>
        </w:rPr>
        <w:t>产品材质证明、热处理报告、无损检测报告、出厂检验报告。</w:t>
      </w:r>
    </w:p>
    <w:p w14:paraId="1BC1CD19">
      <w:pPr>
        <w:pStyle w:val="4"/>
        <w:keepNext/>
        <w:keepLines/>
        <w:pageBreakBefore w:val="0"/>
        <w:widowControl w:val="0"/>
        <w:kinsoku/>
        <w:wordWrap/>
        <w:overflowPunct/>
        <w:topLinePunct w:val="0"/>
        <w:autoSpaceDE/>
        <w:autoSpaceDN/>
        <w:bidi w:val="0"/>
        <w:adjustRightInd w:val="0"/>
        <w:snapToGrid/>
        <w:spacing w:before="0" w:after="0" w:line="360" w:lineRule="auto"/>
        <w:ind w:left="0" w:leftChars="0" w:firstLine="0" w:firstLineChars="0"/>
        <w:textAlignment w:val="baseline"/>
        <w:rPr>
          <w:rFonts w:hint="eastAsia"/>
          <w:b/>
          <w:sz w:val="24"/>
          <w:szCs w:val="24"/>
          <w:lang w:val="sq-AL" w:eastAsia="zh-CN"/>
        </w:rPr>
      </w:pPr>
      <w:r>
        <w:rPr>
          <w:rFonts w:hint="eastAsia"/>
          <w:b/>
          <w:sz w:val="24"/>
          <w:szCs w:val="24"/>
          <w:lang w:val="sq-AL" w:eastAsia="zh-CN"/>
        </w:rPr>
        <w:t>双方责任</w:t>
      </w:r>
    </w:p>
    <w:p w14:paraId="05000ABB">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before="0" w:beforeAutospacing="0" w:after="0" w:afterAutospacing="0" w:line="360" w:lineRule="auto"/>
        <w:ind w:leftChars="0" w:firstLine="420" w:firstLineChars="200"/>
        <w:jc w:val="both"/>
        <w:textAlignment w:val="auto"/>
        <w:rPr>
          <w:rFonts w:hint="eastAsia" w:ascii="宋体" w:hAnsi="宋体" w:eastAsia="宋体" w:cs="宋体"/>
          <w:sz w:val="21"/>
          <w:szCs w:val="21"/>
          <w:lang w:val="sq-AL" w:eastAsia="zh-CN"/>
        </w:rPr>
      </w:pPr>
      <w:r>
        <w:rPr>
          <w:rFonts w:hint="eastAsia" w:ascii="宋体" w:hAnsi="宋体" w:eastAsia="宋体" w:cs="宋体"/>
          <w:sz w:val="21"/>
          <w:szCs w:val="21"/>
          <w:lang w:val="sq-AL" w:eastAsia="zh-CN"/>
        </w:rPr>
        <w:t>设备到甲方现场后，在安装、调试前一周通知乙方，乙方无偿选派足够的、有经验的技术人员到现场指导安装和进行调试，直到试车成功。乙方定期回访，进行产品质量跟踪。设备使用中，设备发生故障，乙方24小时内抵达嘉峪关市并及时提供备件，保证用户正常使用，之后明确责任，协商解决。在质量保证期限内，产品质量若出现问题，乙方将无偿更换或修复。乙方应就合同设备的安装、调试、操作、维修等方面对用户人员进行必要的培训。</w:t>
      </w:r>
    </w:p>
    <w:p w14:paraId="39E84226">
      <w:pPr>
        <w:pStyle w:val="4"/>
        <w:keepNext/>
        <w:keepLines/>
        <w:pageBreakBefore w:val="0"/>
        <w:widowControl w:val="0"/>
        <w:kinsoku/>
        <w:wordWrap/>
        <w:overflowPunct/>
        <w:topLinePunct w:val="0"/>
        <w:autoSpaceDE/>
        <w:autoSpaceDN/>
        <w:bidi w:val="0"/>
        <w:adjustRightInd w:val="0"/>
        <w:snapToGrid/>
        <w:spacing w:before="0" w:after="0" w:line="360" w:lineRule="auto"/>
        <w:ind w:left="0" w:leftChars="0" w:firstLine="0" w:firstLineChars="0"/>
        <w:textAlignment w:val="baseline"/>
        <w:rPr>
          <w:rFonts w:hint="eastAsia"/>
          <w:b/>
          <w:sz w:val="24"/>
          <w:szCs w:val="24"/>
          <w:lang w:val="sq-AL" w:eastAsia="zh-CN"/>
        </w:rPr>
      </w:pPr>
      <w:r>
        <w:rPr>
          <w:rFonts w:hint="eastAsia"/>
          <w:b/>
          <w:sz w:val="24"/>
          <w:szCs w:val="24"/>
          <w:lang w:val="sq-AL" w:eastAsia="zh-CN"/>
        </w:rPr>
        <w:t>质量保证及承诺</w:t>
      </w:r>
    </w:p>
    <w:p w14:paraId="3E9FB282">
      <w:pPr>
        <w:keepNext w:val="0"/>
        <w:keepLines w:val="0"/>
        <w:pageBreakBefore w:val="0"/>
        <w:widowControl w:val="0"/>
        <w:numPr>
          <w:ilvl w:val="0"/>
          <w:numId w:val="7"/>
        </w:numPr>
        <w:tabs>
          <w:tab w:val="left" w:pos="540"/>
          <w:tab w:val="left" w:pos="720"/>
          <w:tab w:val="left" w:pos="1080"/>
        </w:tabs>
        <w:kinsoku/>
        <w:wordWrap/>
        <w:overflowPunct/>
        <w:topLinePunct w:val="0"/>
        <w:autoSpaceDE/>
        <w:autoSpaceDN/>
        <w:bidi w:val="0"/>
        <w:adjustRightInd/>
        <w:snapToGrid/>
        <w:spacing w:beforeAutospacing="0" w:afterAutospacing="0" w:line="240" w:lineRule="auto"/>
        <w:ind w:left="0" w:leftChars="0" w:firstLine="0" w:firstLineChars="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供方有质量保证体系以确保产品质量和服务工作符合本标书规定的要求。</w:t>
      </w:r>
    </w:p>
    <w:p w14:paraId="0E46FC7B">
      <w:pPr>
        <w:keepNext w:val="0"/>
        <w:keepLines w:val="0"/>
        <w:pageBreakBefore w:val="0"/>
        <w:widowControl w:val="0"/>
        <w:numPr>
          <w:ilvl w:val="0"/>
          <w:numId w:val="7"/>
        </w:numPr>
        <w:tabs>
          <w:tab w:val="left" w:pos="540"/>
          <w:tab w:val="left" w:pos="720"/>
          <w:tab w:val="left" w:pos="1080"/>
        </w:tabs>
        <w:kinsoku/>
        <w:wordWrap/>
        <w:overflowPunct/>
        <w:topLinePunct w:val="0"/>
        <w:autoSpaceDE/>
        <w:autoSpaceDN/>
        <w:bidi w:val="0"/>
        <w:adjustRightInd/>
        <w:snapToGrid/>
        <w:spacing w:beforeAutospacing="0" w:afterAutospacing="0" w:line="240" w:lineRule="auto"/>
        <w:ind w:left="0" w:leftChars="0" w:firstLine="0" w:firstLineChars="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乙方</w:t>
      </w:r>
      <w:r>
        <w:rPr>
          <w:rFonts w:hint="eastAsia" w:ascii="宋体" w:hAnsi="宋体" w:cs="Times New Roman"/>
          <w:sz w:val="21"/>
          <w:szCs w:val="21"/>
          <w:vertAlign w:val="baseline"/>
          <w:lang w:val="en-GB" w:eastAsia="zh-CN"/>
        </w:rPr>
        <w:t>按相关</w:t>
      </w:r>
      <w:r>
        <w:rPr>
          <w:rFonts w:hint="eastAsia" w:ascii="宋体" w:hAnsi="宋体" w:cs="Times New Roman"/>
          <w:sz w:val="21"/>
          <w:szCs w:val="21"/>
          <w:vertAlign w:val="baseline"/>
          <w:lang w:val="en-US" w:eastAsia="zh-CN"/>
        </w:rPr>
        <w:t>防垢器</w:t>
      </w:r>
      <w:r>
        <w:rPr>
          <w:rFonts w:hint="eastAsia" w:ascii="宋体" w:hAnsi="宋体" w:cs="Times New Roman"/>
          <w:sz w:val="21"/>
          <w:szCs w:val="21"/>
          <w:vertAlign w:val="baseline"/>
          <w:lang w:val="en-GB" w:eastAsia="zh-CN"/>
        </w:rPr>
        <w:t>标准规范要求进行检验，并</w:t>
      </w:r>
      <w:r>
        <w:rPr>
          <w:rFonts w:hint="eastAsia" w:ascii="宋体" w:hAnsi="宋体" w:eastAsia="宋体" w:cs="宋体"/>
          <w:sz w:val="21"/>
          <w:szCs w:val="21"/>
          <w:lang w:val="en-US" w:eastAsia="zh-CN"/>
        </w:rPr>
        <w:t>应提供完整的质量证明材料。</w:t>
      </w:r>
    </w:p>
    <w:p w14:paraId="69BDCC0C">
      <w:pPr>
        <w:keepNext w:val="0"/>
        <w:keepLines w:val="0"/>
        <w:pageBreakBefore w:val="0"/>
        <w:widowControl w:val="0"/>
        <w:numPr>
          <w:ilvl w:val="0"/>
          <w:numId w:val="7"/>
        </w:numPr>
        <w:tabs>
          <w:tab w:val="left" w:pos="540"/>
          <w:tab w:val="left" w:pos="720"/>
          <w:tab w:val="left" w:pos="1080"/>
        </w:tabs>
        <w:kinsoku/>
        <w:wordWrap/>
        <w:overflowPunct/>
        <w:topLinePunct w:val="0"/>
        <w:autoSpaceDE/>
        <w:autoSpaceDN/>
        <w:bidi w:val="0"/>
        <w:adjustRightInd/>
        <w:snapToGrid/>
        <w:spacing w:beforeAutospacing="0" w:afterAutospacing="0" w:line="240" w:lineRule="auto"/>
        <w:ind w:left="0" w:leftChars="0" w:firstLine="0" w:firstLineChars="0"/>
        <w:jc w:val="both"/>
        <w:textAlignment w:val="auto"/>
        <w:rPr>
          <w:rFonts w:hint="eastAsia" w:ascii="宋体" w:hAnsi="宋体" w:eastAsia="宋体" w:cs="宋体"/>
          <w:sz w:val="21"/>
          <w:szCs w:val="21"/>
          <w:lang w:val="sq-AL" w:eastAsia="zh-CN"/>
        </w:rPr>
      </w:pPr>
      <w:r>
        <w:rPr>
          <w:rFonts w:hint="eastAsia" w:ascii="宋体" w:hAnsi="宋体" w:eastAsia="宋体" w:cs="宋体"/>
          <w:sz w:val="21"/>
          <w:szCs w:val="21"/>
          <w:lang w:val="sq-AL" w:eastAsia="zh-CN"/>
        </w:rPr>
        <w:t>质保期从设备上线使用之日起。</w:t>
      </w:r>
    </w:p>
    <w:p w14:paraId="3F3E4943">
      <w:pPr>
        <w:keepNext w:val="0"/>
        <w:keepLines w:val="0"/>
        <w:pageBreakBefore w:val="0"/>
        <w:widowControl w:val="0"/>
        <w:numPr>
          <w:ilvl w:val="0"/>
          <w:numId w:val="7"/>
        </w:numPr>
        <w:tabs>
          <w:tab w:val="left" w:pos="540"/>
          <w:tab w:val="left" w:pos="720"/>
          <w:tab w:val="left" w:pos="1080"/>
        </w:tabs>
        <w:kinsoku/>
        <w:wordWrap/>
        <w:overflowPunct/>
        <w:topLinePunct w:val="0"/>
        <w:autoSpaceDE/>
        <w:autoSpaceDN/>
        <w:bidi w:val="0"/>
        <w:adjustRightInd/>
        <w:snapToGrid/>
        <w:spacing w:beforeAutospacing="0" w:afterAutospacing="0" w:line="240" w:lineRule="auto"/>
        <w:ind w:left="0" w:leftChars="0" w:firstLine="0" w:firstLineChars="0"/>
        <w:jc w:val="both"/>
        <w:textAlignment w:val="auto"/>
        <w:rPr>
          <w:rFonts w:hint="eastAsia" w:ascii="宋体" w:hAnsi="宋体" w:eastAsia="宋体" w:cs="宋体"/>
          <w:sz w:val="21"/>
          <w:szCs w:val="21"/>
          <w:lang w:val="sq-AL" w:eastAsia="zh-CN"/>
        </w:rPr>
      </w:pPr>
      <w:r>
        <w:rPr>
          <w:rFonts w:hint="eastAsia" w:ascii="宋体" w:hAnsi="宋体" w:cs="宋体"/>
          <w:sz w:val="21"/>
          <w:szCs w:val="21"/>
          <w:lang w:val="en-US" w:eastAsia="zh-CN"/>
        </w:rPr>
        <w:t>1080剪总成</w:t>
      </w:r>
      <w:r>
        <w:rPr>
          <w:rFonts w:hint="eastAsia" w:ascii="宋体" w:hAnsi="宋体" w:eastAsia="宋体" w:cs="宋体"/>
          <w:sz w:val="21"/>
          <w:szCs w:val="21"/>
          <w:lang w:val="sq-AL" w:eastAsia="zh-CN"/>
        </w:rPr>
        <w:t>保质期为12个月，即自该</w:t>
      </w:r>
      <w:r>
        <w:rPr>
          <w:rFonts w:hint="eastAsia" w:ascii="宋体" w:hAnsi="宋体" w:cs="宋体"/>
          <w:sz w:val="21"/>
          <w:szCs w:val="21"/>
          <w:lang w:val="en-US" w:eastAsia="zh-CN"/>
        </w:rPr>
        <w:t>1080剪总成</w:t>
      </w:r>
      <w:r>
        <w:rPr>
          <w:rFonts w:hint="eastAsia" w:ascii="宋体" w:hAnsi="宋体" w:eastAsia="宋体" w:cs="宋体"/>
          <w:sz w:val="21"/>
          <w:szCs w:val="21"/>
          <w:lang w:val="sq-AL" w:eastAsia="zh-CN"/>
        </w:rPr>
        <w:t>安装上线连续使用12个月以上。若使用周期达不到12个月，全部责任由乙方负责（除甲方未按乙方提出的要求造成的设备损坏除外）。</w:t>
      </w:r>
    </w:p>
    <w:p w14:paraId="724223F1">
      <w:pPr>
        <w:keepNext w:val="0"/>
        <w:keepLines w:val="0"/>
        <w:pageBreakBefore w:val="0"/>
        <w:widowControl w:val="0"/>
        <w:numPr>
          <w:ilvl w:val="0"/>
          <w:numId w:val="7"/>
        </w:numPr>
        <w:tabs>
          <w:tab w:val="left" w:pos="540"/>
          <w:tab w:val="left" w:pos="720"/>
          <w:tab w:val="left" w:pos="1080"/>
        </w:tabs>
        <w:kinsoku/>
        <w:wordWrap/>
        <w:overflowPunct/>
        <w:topLinePunct w:val="0"/>
        <w:autoSpaceDE/>
        <w:autoSpaceDN/>
        <w:bidi w:val="0"/>
        <w:adjustRightInd/>
        <w:snapToGrid/>
        <w:spacing w:beforeAutospacing="0" w:afterAutospacing="0" w:line="240" w:lineRule="auto"/>
        <w:ind w:left="0" w:leftChars="0" w:firstLine="0" w:firstLineChars="0"/>
        <w:jc w:val="both"/>
        <w:textAlignment w:val="auto"/>
        <w:rPr>
          <w:rFonts w:hint="eastAsia" w:ascii="宋体" w:hAnsi="宋体" w:eastAsia="宋体" w:cs="宋体"/>
          <w:sz w:val="21"/>
          <w:szCs w:val="21"/>
          <w:lang w:val="sq-AL" w:eastAsia="zh-CN"/>
        </w:rPr>
      </w:pPr>
      <w:r>
        <w:rPr>
          <w:rFonts w:hint="eastAsia" w:ascii="宋体" w:hAnsi="宋体" w:eastAsia="宋体" w:cs="宋体"/>
          <w:sz w:val="21"/>
          <w:szCs w:val="21"/>
          <w:lang w:val="sq-AL" w:eastAsia="zh-CN"/>
        </w:rPr>
        <w:t>乙方对所供应的</w:t>
      </w:r>
      <w:r>
        <w:rPr>
          <w:rFonts w:hint="eastAsia" w:ascii="宋体" w:hAnsi="宋体" w:cs="宋体"/>
          <w:sz w:val="21"/>
          <w:szCs w:val="21"/>
          <w:lang w:val="en-US" w:eastAsia="zh-CN"/>
        </w:rPr>
        <w:t>1080剪总成</w:t>
      </w:r>
      <w:r>
        <w:rPr>
          <w:rFonts w:hint="eastAsia" w:ascii="宋体" w:hAnsi="宋体" w:eastAsia="宋体" w:cs="宋体"/>
          <w:sz w:val="21"/>
          <w:szCs w:val="21"/>
          <w:lang w:val="sq-AL" w:eastAsia="zh-CN"/>
        </w:rPr>
        <w:t>设计、制造、装配以及调试全部质量问题负责。</w:t>
      </w:r>
    </w:p>
    <w:p w14:paraId="5A363993">
      <w:pPr>
        <w:keepNext w:val="0"/>
        <w:keepLines w:val="0"/>
        <w:pageBreakBefore w:val="0"/>
        <w:widowControl w:val="0"/>
        <w:numPr>
          <w:ilvl w:val="0"/>
          <w:numId w:val="7"/>
        </w:numPr>
        <w:tabs>
          <w:tab w:val="left" w:pos="540"/>
          <w:tab w:val="left" w:pos="720"/>
          <w:tab w:val="left" w:pos="1080"/>
        </w:tabs>
        <w:kinsoku/>
        <w:wordWrap/>
        <w:overflowPunct/>
        <w:topLinePunct w:val="0"/>
        <w:autoSpaceDE/>
        <w:autoSpaceDN/>
        <w:bidi w:val="0"/>
        <w:adjustRightInd/>
        <w:snapToGrid/>
        <w:spacing w:beforeAutospacing="0" w:afterAutospacing="0" w:line="240" w:lineRule="auto"/>
        <w:ind w:left="0" w:leftChars="0" w:firstLine="0" w:firstLineChars="0"/>
        <w:jc w:val="both"/>
        <w:textAlignment w:val="auto"/>
        <w:rPr>
          <w:rFonts w:hint="eastAsia" w:ascii="宋体" w:hAnsi="宋体" w:eastAsia="宋体" w:cs="宋体"/>
          <w:sz w:val="21"/>
          <w:szCs w:val="21"/>
          <w:lang w:val="sq-AL" w:eastAsia="zh-CN"/>
        </w:rPr>
      </w:pPr>
      <w:r>
        <w:rPr>
          <w:rFonts w:hint="eastAsia" w:ascii="宋体" w:hAnsi="宋体" w:eastAsia="宋体" w:cs="宋体"/>
          <w:sz w:val="21"/>
          <w:szCs w:val="21"/>
          <w:lang w:val="sq-AL" w:eastAsia="zh-CN"/>
        </w:rPr>
        <w:t>质保期及使用寿命期内，凡属制造不良、质量缺陷、配置不当、运输问题等原因造成的一切损失，乙方均应包退、包换，并及时派技术人员处理，发生的费用由乙方承担担。</w:t>
      </w:r>
    </w:p>
    <w:p w14:paraId="31DAA008">
      <w:pPr>
        <w:keepNext w:val="0"/>
        <w:keepLines w:val="0"/>
        <w:pageBreakBefore w:val="0"/>
        <w:widowControl w:val="0"/>
        <w:numPr>
          <w:ilvl w:val="0"/>
          <w:numId w:val="7"/>
        </w:numPr>
        <w:tabs>
          <w:tab w:val="left" w:pos="540"/>
          <w:tab w:val="left" w:pos="720"/>
          <w:tab w:val="left" w:pos="1080"/>
        </w:tabs>
        <w:kinsoku/>
        <w:wordWrap/>
        <w:overflowPunct/>
        <w:topLinePunct w:val="0"/>
        <w:autoSpaceDE/>
        <w:autoSpaceDN/>
        <w:bidi w:val="0"/>
        <w:adjustRightInd/>
        <w:snapToGrid/>
        <w:spacing w:beforeAutospacing="0" w:afterAutospacing="0" w:line="240" w:lineRule="auto"/>
        <w:ind w:left="0" w:leftChars="0" w:firstLine="0" w:firstLineChars="0"/>
        <w:jc w:val="both"/>
        <w:textAlignment w:val="auto"/>
        <w:rPr>
          <w:rFonts w:hint="eastAsia" w:ascii="宋体" w:hAnsi="宋体" w:eastAsia="宋体" w:cs="宋体"/>
          <w:sz w:val="21"/>
          <w:szCs w:val="21"/>
          <w:lang w:val="sq-AL" w:eastAsia="zh-CN"/>
        </w:rPr>
      </w:pPr>
      <w:r>
        <w:rPr>
          <w:rFonts w:hint="eastAsia" w:ascii="宋体" w:hAnsi="宋体" w:eastAsia="宋体" w:cs="宋体"/>
          <w:sz w:val="21"/>
          <w:szCs w:val="21"/>
          <w:lang w:val="sq-AL" w:eastAsia="zh-CN"/>
        </w:rPr>
        <w:t>设备在使用过程中出现质量问题，乙方接到甲方通知后12小时内应给以答复，并在派技术人员到现场处理，如乙方对现场质量问题处理不及时，甲方有权委托第三方进行抢修或修复，所发生的费用由乙方承担。</w:t>
      </w:r>
    </w:p>
    <w:p w14:paraId="3E724765">
      <w:pPr>
        <w:keepNext w:val="0"/>
        <w:keepLines w:val="0"/>
        <w:pageBreakBefore w:val="0"/>
        <w:widowControl w:val="0"/>
        <w:numPr>
          <w:ilvl w:val="0"/>
          <w:numId w:val="7"/>
        </w:numPr>
        <w:tabs>
          <w:tab w:val="left" w:pos="540"/>
          <w:tab w:val="left" w:pos="720"/>
          <w:tab w:val="left" w:pos="1080"/>
        </w:tabs>
        <w:kinsoku/>
        <w:wordWrap/>
        <w:overflowPunct/>
        <w:topLinePunct w:val="0"/>
        <w:autoSpaceDE/>
        <w:autoSpaceDN/>
        <w:bidi w:val="0"/>
        <w:adjustRightInd/>
        <w:snapToGrid/>
        <w:spacing w:beforeAutospacing="0" w:afterAutospacing="0" w:line="240" w:lineRule="auto"/>
        <w:ind w:left="0" w:leftChars="0" w:firstLine="0" w:firstLineChars="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合同设备在甲方现场安装、使用期间，不满足质量保证项目，由乙方免费提供损坏备件。 </w:t>
      </w:r>
    </w:p>
    <w:p w14:paraId="2EA73E13">
      <w:pPr>
        <w:pStyle w:val="4"/>
        <w:keepNext/>
        <w:keepLines/>
        <w:pageBreakBefore w:val="0"/>
        <w:widowControl w:val="0"/>
        <w:kinsoku/>
        <w:wordWrap/>
        <w:overflowPunct/>
        <w:topLinePunct w:val="0"/>
        <w:autoSpaceDE/>
        <w:autoSpaceDN/>
        <w:bidi w:val="0"/>
        <w:adjustRightInd w:val="0"/>
        <w:snapToGrid/>
        <w:spacing w:before="0" w:after="0" w:line="360" w:lineRule="auto"/>
        <w:ind w:left="0" w:leftChars="0" w:firstLine="0" w:firstLineChars="0"/>
        <w:textAlignment w:val="baseline"/>
        <w:rPr>
          <w:rFonts w:hint="eastAsia"/>
          <w:b/>
          <w:sz w:val="24"/>
          <w:szCs w:val="24"/>
          <w:lang w:val="sq-AL" w:eastAsia="zh-CN"/>
        </w:rPr>
      </w:pPr>
      <w:r>
        <w:rPr>
          <w:rFonts w:hint="eastAsia"/>
          <w:b/>
          <w:sz w:val="24"/>
          <w:szCs w:val="24"/>
          <w:lang w:val="sq-AL" w:eastAsia="zh-CN"/>
        </w:rPr>
        <w:t>售后服务要求</w:t>
      </w:r>
    </w:p>
    <w:p w14:paraId="3ACAE758">
      <w:pPr>
        <w:keepNext w:val="0"/>
        <w:keepLines w:val="0"/>
        <w:pageBreakBefore w:val="0"/>
        <w:widowControl w:val="0"/>
        <w:numPr>
          <w:ilvl w:val="0"/>
          <w:numId w:val="8"/>
        </w:numPr>
        <w:tabs>
          <w:tab w:val="left" w:pos="540"/>
          <w:tab w:val="left" w:pos="720"/>
          <w:tab w:val="left" w:pos="1080"/>
        </w:tabs>
        <w:kinsoku/>
        <w:wordWrap/>
        <w:overflowPunct/>
        <w:topLinePunct w:val="0"/>
        <w:autoSpaceDE/>
        <w:autoSpaceDN/>
        <w:bidi w:val="0"/>
        <w:adjustRightInd/>
        <w:snapToGrid/>
        <w:spacing w:beforeAutospacing="0" w:afterAutospacing="0" w:line="240" w:lineRule="auto"/>
        <w:ind w:left="0" w:leftChars="0" w:firstLine="0" w:firstLineChars="0"/>
        <w:jc w:val="both"/>
        <w:textAlignment w:val="auto"/>
        <w:rPr>
          <w:rFonts w:hint="eastAsia" w:ascii="宋体" w:hAnsi="宋体" w:eastAsia="宋体" w:cs="宋体"/>
          <w:sz w:val="21"/>
          <w:szCs w:val="21"/>
          <w:lang w:val="sq-AL" w:eastAsia="zh-CN"/>
        </w:rPr>
      </w:pPr>
      <w:r>
        <w:rPr>
          <w:rFonts w:hint="eastAsia" w:ascii="宋体" w:hAnsi="宋体" w:eastAsia="宋体" w:cs="宋体"/>
          <w:sz w:val="21"/>
          <w:szCs w:val="21"/>
          <w:lang w:val="sq-AL" w:eastAsia="zh-CN"/>
        </w:rPr>
        <w:t>乙方的服务范围及职责</w:t>
      </w:r>
    </w:p>
    <w:p w14:paraId="47B9600B">
      <w:pPr>
        <w:keepNext w:val="0"/>
        <w:keepLines w:val="0"/>
        <w:pageBreakBefore w:val="0"/>
        <w:widowControl w:val="0"/>
        <w:numPr>
          <w:ilvl w:val="0"/>
          <w:numId w:val="8"/>
        </w:numPr>
        <w:tabs>
          <w:tab w:val="left" w:pos="540"/>
          <w:tab w:val="left" w:pos="720"/>
          <w:tab w:val="left" w:pos="1080"/>
        </w:tabs>
        <w:kinsoku/>
        <w:wordWrap/>
        <w:overflowPunct/>
        <w:topLinePunct w:val="0"/>
        <w:autoSpaceDE/>
        <w:autoSpaceDN/>
        <w:bidi w:val="0"/>
        <w:adjustRightInd/>
        <w:snapToGrid/>
        <w:spacing w:beforeAutospacing="0" w:afterAutospacing="0" w:line="240" w:lineRule="auto"/>
        <w:ind w:left="0" w:leftChars="0" w:firstLine="0" w:firstLineChars="0"/>
        <w:jc w:val="both"/>
        <w:textAlignment w:val="auto"/>
        <w:rPr>
          <w:rFonts w:hint="eastAsia" w:ascii="宋体" w:hAnsi="宋体" w:eastAsia="宋体" w:cs="宋体"/>
          <w:sz w:val="21"/>
          <w:szCs w:val="21"/>
          <w:lang w:val="sq-AL" w:eastAsia="zh-CN"/>
        </w:rPr>
      </w:pPr>
      <w:r>
        <w:rPr>
          <w:rFonts w:hint="eastAsia" w:ascii="宋体" w:hAnsi="宋体" w:eastAsia="宋体" w:cs="宋体"/>
          <w:sz w:val="21"/>
          <w:szCs w:val="21"/>
          <w:lang w:val="sq-AL" w:eastAsia="zh-CN"/>
        </w:rPr>
        <w:t>乙方应提供关于合同设备安装、试车、性能考核及验收、运行操作、维修等方面的技术服务。</w:t>
      </w:r>
    </w:p>
    <w:p w14:paraId="06937008">
      <w:pPr>
        <w:keepNext w:val="0"/>
        <w:keepLines w:val="0"/>
        <w:pageBreakBefore w:val="0"/>
        <w:widowControl w:val="0"/>
        <w:numPr>
          <w:ilvl w:val="0"/>
          <w:numId w:val="8"/>
        </w:numPr>
        <w:tabs>
          <w:tab w:val="left" w:pos="540"/>
          <w:tab w:val="left" w:pos="720"/>
          <w:tab w:val="left" w:pos="1080"/>
        </w:tabs>
        <w:kinsoku/>
        <w:wordWrap/>
        <w:overflowPunct/>
        <w:topLinePunct w:val="0"/>
        <w:autoSpaceDE/>
        <w:autoSpaceDN/>
        <w:bidi w:val="0"/>
        <w:adjustRightInd/>
        <w:snapToGrid/>
        <w:spacing w:beforeAutospacing="0" w:afterAutospacing="0" w:line="240" w:lineRule="auto"/>
        <w:ind w:left="0" w:leftChars="0" w:firstLine="0" w:firstLineChars="0"/>
        <w:jc w:val="both"/>
        <w:textAlignment w:val="auto"/>
        <w:rPr>
          <w:rFonts w:hint="eastAsia" w:ascii="宋体" w:hAnsi="宋体" w:eastAsia="宋体" w:cs="宋体"/>
          <w:sz w:val="21"/>
          <w:szCs w:val="21"/>
          <w:lang w:val="sq-AL" w:eastAsia="zh-CN"/>
        </w:rPr>
      </w:pPr>
      <w:r>
        <w:rPr>
          <w:rFonts w:hint="eastAsia" w:ascii="宋体" w:hAnsi="宋体" w:eastAsia="宋体" w:cs="宋体"/>
          <w:sz w:val="21"/>
          <w:szCs w:val="21"/>
          <w:lang w:val="sq-AL" w:eastAsia="zh-CN"/>
        </w:rPr>
        <w:t>乙方技术人员应进行详细的技术交底、讲解图纸、设备性能及有关注意事项等，解答合同范围内甲方提出的技术问题。</w:t>
      </w:r>
    </w:p>
    <w:p w14:paraId="66BF3088">
      <w:pPr>
        <w:keepNext w:val="0"/>
        <w:keepLines w:val="0"/>
        <w:pageBreakBefore w:val="0"/>
        <w:widowControl w:val="0"/>
        <w:numPr>
          <w:ilvl w:val="0"/>
          <w:numId w:val="8"/>
        </w:numPr>
        <w:tabs>
          <w:tab w:val="left" w:pos="540"/>
          <w:tab w:val="left" w:pos="720"/>
          <w:tab w:val="left" w:pos="1080"/>
        </w:tabs>
        <w:kinsoku/>
        <w:wordWrap/>
        <w:overflowPunct/>
        <w:topLinePunct w:val="0"/>
        <w:autoSpaceDE/>
        <w:autoSpaceDN/>
        <w:bidi w:val="0"/>
        <w:adjustRightInd/>
        <w:snapToGrid/>
        <w:spacing w:beforeAutospacing="0" w:afterAutospacing="0" w:line="240" w:lineRule="auto"/>
        <w:ind w:left="0" w:leftChars="0" w:firstLine="0" w:firstLineChars="0"/>
        <w:jc w:val="both"/>
        <w:textAlignment w:val="auto"/>
        <w:rPr>
          <w:rFonts w:hint="eastAsia" w:ascii="宋体" w:hAnsi="宋体" w:eastAsia="宋体" w:cs="宋体"/>
          <w:sz w:val="21"/>
          <w:szCs w:val="21"/>
          <w:lang w:val="sq-AL" w:eastAsia="zh-CN"/>
        </w:rPr>
      </w:pPr>
      <w:r>
        <w:rPr>
          <w:rFonts w:hint="eastAsia" w:ascii="宋体" w:hAnsi="宋体" w:eastAsia="宋体" w:cs="宋体"/>
          <w:sz w:val="21"/>
          <w:szCs w:val="21"/>
          <w:lang w:val="sq-AL" w:eastAsia="zh-CN"/>
        </w:rPr>
        <w:t>乙方技术人员应在生产现场培训买方的安装、调试、设备维修，提供合同范围内全面、正确的技术服务并进行必要的示范。</w:t>
      </w:r>
    </w:p>
    <w:p w14:paraId="5C43CD21">
      <w:pPr>
        <w:keepNext w:val="0"/>
        <w:keepLines w:val="0"/>
        <w:pageBreakBefore w:val="0"/>
        <w:widowControl w:val="0"/>
        <w:numPr>
          <w:ilvl w:val="0"/>
          <w:numId w:val="8"/>
        </w:numPr>
        <w:tabs>
          <w:tab w:val="left" w:pos="540"/>
          <w:tab w:val="left" w:pos="720"/>
          <w:tab w:val="left" w:pos="1080"/>
        </w:tabs>
        <w:kinsoku/>
        <w:wordWrap/>
        <w:overflowPunct/>
        <w:topLinePunct w:val="0"/>
        <w:autoSpaceDE/>
        <w:autoSpaceDN/>
        <w:bidi w:val="0"/>
        <w:adjustRightInd/>
        <w:snapToGrid/>
        <w:spacing w:beforeAutospacing="0" w:afterAutospacing="0" w:line="240" w:lineRule="auto"/>
        <w:ind w:left="0" w:leftChars="0" w:firstLine="0" w:firstLineChars="0"/>
        <w:jc w:val="both"/>
        <w:textAlignment w:val="auto"/>
        <w:rPr>
          <w:rFonts w:hint="eastAsia" w:ascii="宋体" w:hAnsi="宋体" w:eastAsia="宋体" w:cs="宋体"/>
          <w:sz w:val="21"/>
          <w:szCs w:val="21"/>
          <w:lang w:val="sq-AL" w:eastAsia="zh-CN"/>
        </w:rPr>
      </w:pPr>
      <w:r>
        <w:rPr>
          <w:rFonts w:hint="eastAsia" w:ascii="宋体" w:hAnsi="宋体" w:eastAsia="宋体" w:cs="宋体"/>
          <w:sz w:val="21"/>
          <w:szCs w:val="21"/>
          <w:lang w:val="sq-AL" w:eastAsia="zh-CN"/>
        </w:rPr>
        <w:t>当乙方接到甲方的书面通知后，应在</w:t>
      </w:r>
      <w:r>
        <w:rPr>
          <w:rFonts w:hint="eastAsia" w:ascii="宋体" w:hAnsi="宋体" w:eastAsia="宋体" w:cs="宋体"/>
          <w:sz w:val="21"/>
          <w:szCs w:val="21"/>
          <w:lang w:val="en-US" w:eastAsia="zh-CN"/>
        </w:rPr>
        <w:t>3</w:t>
      </w:r>
      <w:r>
        <w:rPr>
          <w:rFonts w:hint="eastAsia" w:ascii="宋体" w:hAnsi="宋体" w:eastAsia="宋体" w:cs="宋体"/>
          <w:sz w:val="21"/>
          <w:szCs w:val="21"/>
          <w:lang w:val="sq-AL" w:eastAsia="zh-CN"/>
        </w:rPr>
        <w:t>日内到达项目现场。</w:t>
      </w:r>
    </w:p>
    <w:p w14:paraId="643624B4">
      <w:pPr>
        <w:pStyle w:val="4"/>
        <w:keepNext/>
        <w:keepLines/>
        <w:pageBreakBefore w:val="0"/>
        <w:widowControl w:val="0"/>
        <w:kinsoku/>
        <w:wordWrap/>
        <w:overflowPunct/>
        <w:topLinePunct w:val="0"/>
        <w:autoSpaceDE/>
        <w:autoSpaceDN/>
        <w:bidi w:val="0"/>
        <w:adjustRightInd w:val="0"/>
        <w:snapToGrid/>
        <w:spacing w:before="0" w:after="0" w:line="360" w:lineRule="auto"/>
        <w:ind w:left="0" w:leftChars="0" w:firstLine="0" w:firstLineChars="0"/>
        <w:textAlignment w:val="baseline"/>
        <w:rPr>
          <w:rFonts w:hint="eastAsia"/>
          <w:b/>
          <w:sz w:val="24"/>
          <w:szCs w:val="24"/>
          <w:lang w:val="sq-AL" w:eastAsia="zh-CN"/>
        </w:rPr>
      </w:pPr>
      <w:r>
        <w:rPr>
          <w:rFonts w:hint="eastAsia"/>
          <w:b/>
          <w:sz w:val="24"/>
          <w:szCs w:val="24"/>
          <w:lang w:val="sq-AL" w:eastAsia="zh-CN"/>
        </w:rPr>
        <w:t>其它</w:t>
      </w:r>
    </w:p>
    <w:p w14:paraId="540BCA5C">
      <w:pPr>
        <w:keepNext w:val="0"/>
        <w:keepLines w:val="0"/>
        <w:pageBreakBefore w:val="0"/>
        <w:widowControl w:val="0"/>
        <w:kinsoku/>
        <w:wordWrap/>
        <w:overflowPunct/>
        <w:topLinePunct w:val="0"/>
        <w:autoSpaceDE/>
        <w:autoSpaceDN/>
        <w:bidi w:val="0"/>
        <w:adjustRightInd w:val="0"/>
        <w:snapToGrid/>
        <w:spacing w:before="0" w:beforeAutospacing="0" w:after="0" w:afterAutospacing="0" w:line="360" w:lineRule="auto"/>
        <w:ind w:left="0" w:firstLine="0" w:firstLineChars="0"/>
        <w:textAlignment w:val="baseline"/>
        <w:rPr>
          <w:rFonts w:hint="eastAsia" w:ascii="宋体" w:hAnsi="宋体" w:cs="Times New Roman"/>
          <w:sz w:val="21"/>
          <w:szCs w:val="21"/>
          <w:vertAlign w:val="baseline"/>
          <w:lang w:val="sq-AL" w:eastAsia="zh-CN"/>
        </w:rPr>
      </w:pPr>
      <w:r>
        <w:rPr>
          <w:rFonts w:hint="eastAsia" w:ascii="宋体" w:hAnsi="宋体" w:cs="Times New Roman"/>
          <w:sz w:val="21"/>
          <w:szCs w:val="21"/>
          <w:vertAlign w:val="baseline"/>
          <w:lang w:val="sq-AL" w:eastAsia="zh-CN"/>
        </w:rPr>
        <w:t>1.未尽适宜双方本着友好合作的原则协商解决。</w:t>
      </w:r>
    </w:p>
    <w:p w14:paraId="55926434">
      <w:pPr>
        <w:keepNext w:val="0"/>
        <w:keepLines w:val="0"/>
        <w:pageBreakBefore w:val="0"/>
        <w:widowControl w:val="0"/>
        <w:kinsoku/>
        <w:wordWrap/>
        <w:overflowPunct/>
        <w:topLinePunct w:val="0"/>
        <w:autoSpaceDE/>
        <w:autoSpaceDN/>
        <w:bidi w:val="0"/>
        <w:adjustRightInd w:val="0"/>
        <w:snapToGrid/>
        <w:spacing w:before="0" w:beforeAutospacing="0" w:after="0" w:afterAutospacing="0" w:line="360" w:lineRule="auto"/>
        <w:ind w:left="0" w:firstLine="0" w:firstLineChars="0"/>
        <w:textAlignment w:val="baseline"/>
        <w:rPr>
          <w:rFonts w:hint="eastAsia" w:ascii="宋体" w:hAnsi="宋体" w:cs="Times New Roman"/>
          <w:sz w:val="21"/>
          <w:szCs w:val="21"/>
          <w:vertAlign w:val="baseline"/>
          <w:lang w:val="sq-AL" w:eastAsia="zh-CN"/>
        </w:rPr>
      </w:pPr>
      <w:r>
        <w:rPr>
          <w:rFonts w:hint="eastAsia" w:ascii="宋体" w:hAnsi="宋体" w:cs="Times New Roman"/>
          <w:sz w:val="21"/>
          <w:szCs w:val="21"/>
          <w:vertAlign w:val="baseline"/>
          <w:lang w:val="sq-AL" w:eastAsia="zh-CN"/>
        </w:rPr>
        <w:t>2.本协议一式四份，甲方三份，乙方一份。</w:t>
      </w:r>
    </w:p>
    <w:p w14:paraId="2B0E69C2">
      <w:pPr>
        <w:pStyle w:val="4"/>
        <w:keepNext/>
        <w:keepLines/>
        <w:pageBreakBefore w:val="0"/>
        <w:widowControl w:val="0"/>
        <w:kinsoku/>
        <w:wordWrap/>
        <w:overflowPunct/>
        <w:topLinePunct w:val="0"/>
        <w:autoSpaceDE/>
        <w:autoSpaceDN/>
        <w:bidi w:val="0"/>
        <w:adjustRightInd w:val="0"/>
        <w:snapToGrid/>
        <w:spacing w:before="0" w:after="0" w:line="360" w:lineRule="auto"/>
        <w:ind w:left="0" w:leftChars="0" w:firstLine="0" w:firstLineChars="0"/>
        <w:textAlignment w:val="baseline"/>
        <w:rPr>
          <w:rFonts w:hint="eastAsia"/>
          <w:b/>
          <w:sz w:val="24"/>
          <w:szCs w:val="24"/>
          <w:lang w:val="en-US" w:eastAsia="zh-CN"/>
        </w:rPr>
      </w:pPr>
      <w:r>
        <w:rPr>
          <w:rFonts w:hint="eastAsia"/>
          <w:b/>
          <w:sz w:val="24"/>
          <w:szCs w:val="24"/>
          <w:lang w:val="en-US" w:eastAsia="zh-CN"/>
        </w:rPr>
        <w:t>其它</w:t>
      </w:r>
    </w:p>
    <w:p w14:paraId="758A1867">
      <w:pPr>
        <w:keepNext w:val="0"/>
        <w:keepLines w:val="0"/>
        <w:pageBreakBefore w:val="0"/>
        <w:widowControl w:val="0"/>
        <w:kinsoku/>
        <w:wordWrap/>
        <w:overflowPunct/>
        <w:topLinePunct w:val="0"/>
        <w:autoSpaceDE/>
        <w:autoSpaceDN/>
        <w:bidi w:val="0"/>
        <w:adjustRightInd w:val="0"/>
        <w:snapToGrid/>
        <w:spacing w:before="0" w:beforeAutospacing="0" w:after="0" w:afterAutospacing="0" w:line="360" w:lineRule="auto"/>
        <w:ind w:left="0" w:firstLine="0" w:firstLineChars="0"/>
        <w:textAlignment w:val="baseline"/>
        <w:rPr>
          <w:rFonts w:hint="eastAsia" w:ascii="宋体" w:hAnsi="宋体" w:eastAsia="宋体" w:cs="Times New Roman"/>
          <w:sz w:val="21"/>
          <w:szCs w:val="21"/>
          <w:vertAlign w:val="baseline"/>
          <w:lang w:val="en-US" w:eastAsia="zh-CN"/>
        </w:rPr>
      </w:pPr>
      <w:r>
        <w:rPr>
          <w:rFonts w:hint="eastAsia" w:ascii="宋体" w:hAnsi="宋体" w:eastAsia="宋体" w:cs="Times New Roman"/>
          <w:sz w:val="21"/>
          <w:szCs w:val="21"/>
          <w:vertAlign w:val="baseline"/>
          <w:lang w:val="en-US" w:eastAsia="zh-CN"/>
        </w:rPr>
        <w:t>1、本协议中未尽事宜，双方协商解决。</w:t>
      </w:r>
    </w:p>
    <w:p w14:paraId="553A230E">
      <w:pPr>
        <w:keepNext w:val="0"/>
        <w:keepLines w:val="0"/>
        <w:pageBreakBefore w:val="0"/>
        <w:widowControl w:val="0"/>
        <w:kinsoku/>
        <w:wordWrap/>
        <w:overflowPunct/>
        <w:topLinePunct w:val="0"/>
        <w:autoSpaceDE/>
        <w:autoSpaceDN/>
        <w:bidi w:val="0"/>
        <w:adjustRightInd w:val="0"/>
        <w:snapToGrid/>
        <w:spacing w:before="0" w:beforeAutospacing="0" w:after="0" w:afterAutospacing="0" w:line="360" w:lineRule="auto"/>
        <w:ind w:left="0" w:firstLine="0" w:firstLineChars="0"/>
        <w:textAlignment w:val="baseline"/>
        <w:rPr>
          <w:rFonts w:hint="eastAsia" w:ascii="宋体" w:hAnsi="宋体" w:eastAsia="宋体" w:cs="Times New Roman"/>
          <w:sz w:val="21"/>
          <w:szCs w:val="21"/>
          <w:vertAlign w:val="baseline"/>
          <w:lang w:val="en-US" w:eastAsia="zh-CN"/>
        </w:rPr>
      </w:pPr>
      <w:r>
        <w:rPr>
          <w:rFonts w:hint="eastAsia" w:ascii="宋体" w:hAnsi="宋体" w:eastAsia="宋体" w:cs="Times New Roman"/>
          <w:sz w:val="21"/>
          <w:szCs w:val="21"/>
          <w:vertAlign w:val="baseline"/>
          <w:lang w:val="en-US" w:eastAsia="zh-CN"/>
        </w:rPr>
        <w:t>2、本协议一式四份，甲方三份，乙方一份。</w:t>
      </w:r>
    </w:p>
    <w:p w14:paraId="5C62512E">
      <w:pPr>
        <w:keepNext w:val="0"/>
        <w:keepLines w:val="0"/>
        <w:pageBreakBefore w:val="0"/>
        <w:tabs>
          <w:tab w:val="left" w:pos="1943"/>
        </w:tabs>
        <w:kinsoku/>
        <w:wordWrap/>
        <w:overflowPunct/>
        <w:topLinePunct w:val="0"/>
        <w:autoSpaceDE/>
        <w:autoSpaceDN/>
        <w:bidi w:val="0"/>
        <w:spacing w:line="360" w:lineRule="auto"/>
        <w:ind w:left="0" w:leftChars="0" w:firstLine="0" w:firstLineChars="0"/>
        <w:rPr>
          <w:rFonts w:hint="eastAsia" w:ascii="宋体" w:hAnsi="宋体" w:eastAsia="宋体" w:cs="宋体"/>
          <w:b/>
          <w:sz w:val="32"/>
          <w:szCs w:val="32"/>
        </w:rPr>
      </w:pPr>
      <w:r>
        <w:rPr>
          <w:rFonts w:hint="eastAsia" w:ascii="宋体" w:hAnsi="宋体" w:eastAsia="宋体" w:cs="宋体"/>
          <w:b/>
          <w:sz w:val="32"/>
          <w:szCs w:val="32"/>
        </w:rPr>
        <w:t>甲方</w:t>
      </w:r>
      <w:r>
        <w:rPr>
          <w:rFonts w:hint="eastAsia" w:ascii="宋体" w:hAnsi="宋体" w:eastAsia="宋体" w:cs="宋体"/>
          <w:b/>
          <w:sz w:val="32"/>
          <w:szCs w:val="32"/>
          <w:lang w:eastAsia="zh-CN"/>
        </w:rPr>
        <w:t>单位名称</w:t>
      </w:r>
      <w:r>
        <w:rPr>
          <w:rFonts w:hint="eastAsia" w:ascii="宋体" w:hAnsi="宋体" w:eastAsia="宋体" w:cs="宋体"/>
          <w:b/>
          <w:sz w:val="32"/>
          <w:szCs w:val="32"/>
        </w:rPr>
        <w:t>：</w:t>
      </w:r>
      <w:r>
        <w:rPr>
          <w:rFonts w:hint="eastAsia" w:ascii="宋体" w:hAnsi="宋体" w:eastAsia="宋体" w:cs="宋体"/>
          <w:b/>
          <w:sz w:val="32"/>
          <w:szCs w:val="32"/>
          <w:lang w:eastAsia="zh-CN"/>
        </w:rPr>
        <w:t>甘肃</w:t>
      </w:r>
      <w:r>
        <w:rPr>
          <w:rFonts w:hint="eastAsia" w:ascii="宋体" w:hAnsi="宋体" w:eastAsia="宋体" w:cs="宋体"/>
          <w:b/>
          <w:sz w:val="32"/>
          <w:szCs w:val="32"/>
        </w:rPr>
        <w:t>酒钢集团宏兴</w:t>
      </w:r>
      <w:r>
        <w:rPr>
          <w:rFonts w:hint="eastAsia" w:ascii="宋体" w:hAnsi="宋体" w:cs="宋体"/>
          <w:b/>
          <w:sz w:val="32"/>
          <w:szCs w:val="32"/>
          <w:lang w:eastAsia="zh-CN"/>
        </w:rPr>
        <w:t>宏博新材料有限责任</w:t>
      </w:r>
      <w:r>
        <w:rPr>
          <w:rFonts w:hint="eastAsia" w:ascii="宋体" w:hAnsi="宋体" w:eastAsia="宋体" w:cs="宋体"/>
          <w:b/>
          <w:sz w:val="32"/>
          <w:szCs w:val="32"/>
        </w:rPr>
        <w:t xml:space="preserve">公司    </w:t>
      </w:r>
    </w:p>
    <w:p w14:paraId="3018F954">
      <w:pPr>
        <w:keepNext w:val="0"/>
        <w:keepLines w:val="0"/>
        <w:pageBreakBefore w:val="0"/>
        <w:tabs>
          <w:tab w:val="left" w:pos="1943"/>
        </w:tabs>
        <w:kinsoku/>
        <w:wordWrap/>
        <w:overflowPunct/>
        <w:topLinePunct w:val="0"/>
        <w:autoSpaceDE/>
        <w:autoSpaceDN/>
        <w:bidi w:val="0"/>
        <w:spacing w:line="360" w:lineRule="auto"/>
        <w:ind w:left="0" w:leftChars="0" w:firstLine="0" w:firstLineChars="0"/>
        <w:rPr>
          <w:rFonts w:hint="eastAsia" w:ascii="宋体" w:hAnsi="宋体" w:eastAsia="宋体" w:cs="宋体"/>
          <w:b/>
          <w:sz w:val="32"/>
          <w:szCs w:val="32"/>
        </w:rPr>
      </w:pPr>
      <w:r>
        <w:rPr>
          <w:rFonts w:hint="eastAsia" w:ascii="宋体" w:hAnsi="宋体" w:eastAsia="宋体" w:cs="宋体"/>
          <w:b/>
          <w:sz w:val="32"/>
          <w:szCs w:val="32"/>
        </w:rPr>
        <w:t>甲方代表：</w:t>
      </w:r>
      <w:r>
        <w:rPr>
          <w:rFonts w:hint="eastAsia" w:ascii="宋体" w:hAnsi="宋体" w:eastAsia="宋体" w:cs="宋体"/>
          <w:b/>
          <w:sz w:val="32"/>
          <w:szCs w:val="32"/>
          <w:lang w:val="en-US" w:eastAsia="zh-CN"/>
        </w:rPr>
        <w:t xml:space="preserve">                               </w:t>
      </w:r>
      <w:r>
        <w:rPr>
          <w:rFonts w:hint="eastAsia" w:ascii="宋体" w:hAnsi="宋体" w:eastAsia="宋体" w:cs="宋体"/>
          <w:b/>
          <w:sz w:val="32"/>
          <w:szCs w:val="32"/>
        </w:rPr>
        <w:t>年   月   日</w:t>
      </w:r>
    </w:p>
    <w:p w14:paraId="62B42895">
      <w:pPr>
        <w:keepNext w:val="0"/>
        <w:keepLines w:val="0"/>
        <w:pageBreakBefore w:val="0"/>
        <w:tabs>
          <w:tab w:val="left" w:pos="1943"/>
        </w:tabs>
        <w:kinsoku/>
        <w:wordWrap/>
        <w:overflowPunct/>
        <w:topLinePunct w:val="0"/>
        <w:autoSpaceDE/>
        <w:autoSpaceDN/>
        <w:bidi w:val="0"/>
        <w:spacing w:before="0" w:beforeAutospacing="0" w:after="0" w:afterAutospacing="0" w:line="240" w:lineRule="auto"/>
        <w:ind w:left="0" w:leftChars="0" w:firstLine="0" w:firstLineChars="0"/>
        <w:rPr>
          <w:rFonts w:hint="eastAsia" w:ascii="宋体" w:hAnsi="宋体" w:eastAsia="宋体" w:cs="宋体"/>
          <w:b/>
          <w:sz w:val="32"/>
          <w:szCs w:val="32"/>
        </w:rPr>
      </w:pPr>
    </w:p>
    <w:p w14:paraId="78CB0514">
      <w:pPr>
        <w:keepNext w:val="0"/>
        <w:keepLines w:val="0"/>
        <w:pageBreakBefore w:val="0"/>
        <w:tabs>
          <w:tab w:val="left" w:pos="1943"/>
        </w:tabs>
        <w:kinsoku/>
        <w:wordWrap/>
        <w:overflowPunct/>
        <w:topLinePunct w:val="0"/>
        <w:autoSpaceDE/>
        <w:autoSpaceDN/>
        <w:bidi w:val="0"/>
        <w:spacing w:before="0" w:beforeAutospacing="0" w:after="0" w:afterAutospacing="0" w:line="240" w:lineRule="auto"/>
        <w:ind w:left="0" w:leftChars="0" w:firstLine="0" w:firstLineChars="0"/>
        <w:rPr>
          <w:rFonts w:hint="eastAsia" w:ascii="宋体" w:hAnsi="宋体" w:eastAsia="宋体" w:cs="宋体"/>
          <w:b/>
          <w:sz w:val="32"/>
          <w:szCs w:val="32"/>
        </w:rPr>
      </w:pPr>
    </w:p>
    <w:p w14:paraId="26D43A7B">
      <w:pPr>
        <w:keepNext w:val="0"/>
        <w:keepLines w:val="0"/>
        <w:pageBreakBefore w:val="0"/>
        <w:tabs>
          <w:tab w:val="left" w:pos="1943"/>
        </w:tabs>
        <w:kinsoku/>
        <w:wordWrap/>
        <w:overflowPunct/>
        <w:topLinePunct w:val="0"/>
        <w:autoSpaceDE/>
        <w:autoSpaceDN/>
        <w:bidi w:val="0"/>
        <w:spacing w:before="0" w:beforeAutospacing="0" w:after="0" w:afterAutospacing="0" w:line="240" w:lineRule="auto"/>
        <w:ind w:left="0" w:leftChars="0" w:firstLine="0" w:firstLineChars="0"/>
        <w:rPr>
          <w:rFonts w:hint="eastAsia" w:ascii="宋体" w:hAnsi="宋体" w:eastAsia="宋体" w:cs="宋体"/>
          <w:b/>
          <w:sz w:val="32"/>
          <w:szCs w:val="32"/>
        </w:rPr>
      </w:pPr>
      <w:r>
        <w:rPr>
          <w:rFonts w:hint="eastAsia" w:ascii="宋体" w:hAnsi="宋体" w:eastAsia="宋体" w:cs="宋体"/>
          <w:b/>
          <w:sz w:val="32"/>
          <w:szCs w:val="32"/>
        </w:rPr>
        <w:t>乙方</w:t>
      </w:r>
      <w:r>
        <w:rPr>
          <w:rFonts w:hint="eastAsia" w:ascii="宋体" w:hAnsi="宋体" w:eastAsia="宋体" w:cs="宋体"/>
          <w:b/>
          <w:sz w:val="32"/>
          <w:szCs w:val="32"/>
          <w:lang w:eastAsia="zh-CN"/>
        </w:rPr>
        <w:t>单位名称</w:t>
      </w:r>
      <w:r>
        <w:rPr>
          <w:rFonts w:hint="eastAsia" w:ascii="宋体" w:hAnsi="宋体" w:eastAsia="宋体" w:cs="宋体"/>
          <w:b/>
          <w:sz w:val="32"/>
          <w:szCs w:val="32"/>
        </w:rPr>
        <w:t>：</w:t>
      </w:r>
    </w:p>
    <w:p w14:paraId="57F873DA">
      <w:pPr>
        <w:keepNext w:val="0"/>
        <w:keepLines w:val="0"/>
        <w:pageBreakBefore w:val="0"/>
        <w:kinsoku/>
        <w:wordWrap/>
        <w:overflowPunct/>
        <w:topLinePunct w:val="0"/>
        <w:autoSpaceDE/>
        <w:autoSpaceDN/>
        <w:bidi w:val="0"/>
        <w:spacing w:line="360" w:lineRule="auto"/>
        <w:ind w:left="0" w:leftChars="0" w:firstLine="0" w:firstLineChars="0"/>
      </w:pPr>
      <w:r>
        <w:rPr>
          <w:rFonts w:hint="eastAsia" w:ascii="宋体" w:hAnsi="宋体" w:eastAsia="宋体" w:cs="宋体"/>
          <w:b/>
          <w:sz w:val="32"/>
          <w:szCs w:val="32"/>
        </w:rPr>
        <w:t>乙方代表：</w:t>
      </w:r>
      <w:r>
        <w:rPr>
          <w:rFonts w:hint="eastAsia" w:ascii="宋体" w:hAnsi="宋体" w:eastAsia="宋体" w:cs="宋体"/>
          <w:b/>
          <w:sz w:val="32"/>
          <w:szCs w:val="32"/>
          <w:lang w:val="en-US" w:eastAsia="zh-CN"/>
        </w:rPr>
        <w:t xml:space="preserve">                               </w:t>
      </w:r>
      <w:r>
        <w:rPr>
          <w:rFonts w:hint="eastAsia" w:ascii="宋体" w:hAnsi="宋体" w:eastAsia="宋体" w:cs="宋体"/>
          <w:b/>
          <w:sz w:val="32"/>
          <w:szCs w:val="32"/>
        </w:rPr>
        <w:t>年   月   日</w:t>
      </w:r>
    </w:p>
    <w:sectPr>
      <w:headerReference r:id="rId6" w:type="first"/>
      <w:footerReference r:id="rId9" w:type="first"/>
      <w:footerReference r:id="rId7" w:type="default"/>
      <w:headerReference r:id="rId5" w:type="even"/>
      <w:footerReference r:id="rId8" w:type="even"/>
      <w:pgSz w:w="11906" w:h="16838"/>
      <w:pgMar w:top="1417" w:right="1417" w:bottom="1417" w:left="1417" w:header="567" w:footer="510" w:gutter="0"/>
      <w:cols w:space="720"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724"/>
      </w:pPr>
      <w:r>
        <w:separator/>
      </w:r>
    </w:p>
  </w:endnote>
  <w:endnote w:type="continuationSeparator" w:id="1">
    <w:p>
      <w:pPr>
        <w:spacing w:line="240" w:lineRule="auto"/>
        <w:ind w:firstLine="7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5E309">
    <w:pPr>
      <w:pStyle w:val="18"/>
      <w:framePr w:wrap="around" w:vAnchor="text" w:hAnchor="margin" w:xAlign="center" w:y="1"/>
      <w:ind w:firstLine="544"/>
      <w:rPr>
        <w:rStyle w:val="25"/>
      </w:rPr>
    </w:pPr>
    <w:r>
      <w:fldChar w:fldCharType="begin"/>
    </w:r>
    <w:r>
      <w:rPr>
        <w:rStyle w:val="25"/>
      </w:rPr>
      <w:instrText xml:space="preserve">PAGE  </w:instrText>
    </w:r>
    <w:r>
      <w:fldChar w:fldCharType="separate"/>
    </w:r>
    <w:r>
      <w:rPr>
        <w:rStyle w:val="25"/>
      </w:rPr>
      <w:t>1</w:t>
    </w:r>
    <w:r>
      <w:fldChar w:fldCharType="end"/>
    </w:r>
  </w:p>
  <w:p w14:paraId="262B979D">
    <w:pPr>
      <w:pStyle w:val="18"/>
      <w:ind w:firstLine="5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92223">
    <w:pPr>
      <w:pStyle w:val="18"/>
      <w:framePr w:wrap="around" w:vAnchor="text" w:hAnchor="margin" w:xAlign="center" w:y="1"/>
      <w:ind w:firstLine="544"/>
      <w:rPr>
        <w:rStyle w:val="25"/>
      </w:rPr>
    </w:pPr>
    <w:r>
      <w:fldChar w:fldCharType="begin"/>
    </w:r>
    <w:r>
      <w:rPr>
        <w:rStyle w:val="25"/>
      </w:rPr>
      <w:instrText xml:space="preserve">PAGE  </w:instrText>
    </w:r>
    <w:r>
      <w:fldChar w:fldCharType="end"/>
    </w:r>
  </w:p>
  <w:p w14:paraId="5C6BEB85">
    <w:pPr>
      <w:pStyle w:val="18"/>
      <w:ind w:firstLine="54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CB51F">
    <w:pPr>
      <w:pStyle w:val="18"/>
      <w:ind w:firstLine="5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724"/>
      </w:pPr>
      <w:r>
        <w:separator/>
      </w:r>
    </w:p>
  </w:footnote>
  <w:footnote w:type="continuationSeparator" w:id="1">
    <w:p>
      <w:pPr>
        <w:spacing w:before="0" w:after="0" w:line="240" w:lineRule="auto"/>
        <w:ind w:firstLine="72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FF2F5">
    <w:pPr>
      <w:pStyle w:val="19"/>
      <w:ind w:firstLine="54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A7196">
    <w:pPr>
      <w:pStyle w:val="19"/>
      <w:ind w:firstLine="54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AF7A77"/>
    <w:multiLevelType w:val="multilevel"/>
    <w:tmpl w:val="86AF7A77"/>
    <w:lvl w:ilvl="0" w:tentative="0">
      <w:start w:val="1"/>
      <w:numFmt w:val="decimal"/>
      <w:lvlText w:val="4.%1"/>
      <w:lvlJc w:val="left"/>
      <w:pPr>
        <w:tabs>
          <w:tab w:val="left" w:pos="0"/>
        </w:tabs>
        <w:ind w:left="0" w:firstLine="0"/>
      </w:pPr>
      <w:rPr>
        <w:rFonts w:hint="default" w:ascii="宋体" w:hAnsi="宋体" w:eastAsia="宋体" w:cs="宋体"/>
        <w:color w:val="auto"/>
      </w:rPr>
    </w:lvl>
    <w:lvl w:ilvl="1" w:tentative="0">
      <w:start w:val="1"/>
      <w:numFmt w:val="decimal"/>
      <w:lvlText w:val="%2、"/>
      <w:lvlJc w:val="left"/>
      <w:pPr>
        <w:tabs>
          <w:tab w:val="left" w:pos="1260"/>
        </w:tabs>
        <w:ind w:left="126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8FD048D1"/>
    <w:multiLevelType w:val="multilevel"/>
    <w:tmpl w:val="8FD048D1"/>
    <w:lvl w:ilvl="0" w:tentative="0">
      <w:start w:val="1"/>
      <w:numFmt w:val="decimal"/>
      <w:lvlText w:val="7.%1"/>
      <w:lvlJc w:val="left"/>
      <w:pPr>
        <w:tabs>
          <w:tab w:val="left" w:pos="0"/>
        </w:tabs>
        <w:ind w:left="0" w:firstLine="0"/>
      </w:pPr>
      <w:rPr>
        <w:rFonts w:hint="default" w:ascii="宋体" w:hAnsi="宋体" w:eastAsia="宋体" w:cs="宋体"/>
        <w:color w:val="auto"/>
      </w:rPr>
    </w:lvl>
    <w:lvl w:ilvl="1" w:tentative="0">
      <w:start w:val="1"/>
      <w:numFmt w:val="decimal"/>
      <w:lvlText w:val="%2、"/>
      <w:lvlJc w:val="left"/>
      <w:pPr>
        <w:tabs>
          <w:tab w:val="left" w:pos="1260"/>
        </w:tabs>
        <w:ind w:left="126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A4CEB718"/>
    <w:multiLevelType w:val="multilevel"/>
    <w:tmpl w:val="A4CEB718"/>
    <w:lvl w:ilvl="0" w:tentative="0">
      <w:start w:val="1"/>
      <w:numFmt w:val="chineseCounting"/>
      <w:pStyle w:val="4"/>
      <w:suff w:val="nothing"/>
      <w:lvlText w:val="%1、"/>
      <w:lvlJc w:val="left"/>
      <w:pPr>
        <w:tabs>
          <w:tab w:val="left" w:pos="0"/>
        </w:tabs>
        <w:ind w:left="0" w:firstLine="0"/>
      </w:pPr>
      <w:rPr>
        <w:rFonts w:hint="eastAsia" w:ascii="宋体" w:hAnsi="宋体" w:eastAsia="宋体" w:cs="宋体"/>
      </w:rPr>
    </w:lvl>
    <w:lvl w:ilvl="1" w:tentative="0">
      <w:start w:val="1"/>
      <w:numFmt w:val="chineseCounting"/>
      <w:pStyle w:val="5"/>
      <w:suff w:val="nothing"/>
      <w:lvlText w:val="（%2）"/>
      <w:lvlJc w:val="left"/>
      <w:pPr>
        <w:ind w:left="0" w:firstLine="0"/>
      </w:pPr>
      <w:rPr>
        <w:rFonts w:hint="eastAsia" w:ascii="宋体" w:hAnsi="宋体" w:eastAsia="宋体" w:cs="宋体"/>
      </w:rPr>
    </w:lvl>
    <w:lvl w:ilvl="2" w:tentative="0">
      <w:start w:val="1"/>
      <w:numFmt w:val="decimal"/>
      <w:pStyle w:val="6"/>
      <w:suff w:val="nothing"/>
      <w:lvlText w:val="%3．"/>
      <w:lvlJc w:val="left"/>
      <w:pPr>
        <w:ind w:left="0" w:firstLine="400"/>
      </w:pPr>
      <w:rPr>
        <w:rFonts w:hint="eastAsia" w:ascii="宋体" w:hAnsi="宋体" w:eastAsia="宋体" w:cs="宋体"/>
      </w:rPr>
    </w:lvl>
    <w:lvl w:ilvl="3" w:tentative="0">
      <w:start w:val="1"/>
      <w:numFmt w:val="decimal"/>
      <w:pStyle w:val="7"/>
      <w:suff w:val="nothing"/>
      <w:lvlText w:val="（%4）"/>
      <w:lvlJc w:val="left"/>
      <w:pPr>
        <w:ind w:left="0" w:firstLine="402"/>
      </w:pPr>
      <w:rPr>
        <w:rFonts w:hint="eastAsia"/>
      </w:rPr>
    </w:lvl>
    <w:lvl w:ilvl="4" w:tentative="0">
      <w:start w:val="1"/>
      <w:numFmt w:val="decimalEnclosedCircleChinese"/>
      <w:pStyle w:val="8"/>
      <w:suff w:val="nothing"/>
      <w:lvlText w:val="%5"/>
      <w:lvlJc w:val="left"/>
      <w:pPr>
        <w:ind w:left="0" w:firstLine="402"/>
      </w:pPr>
      <w:rPr>
        <w:rFonts w:hint="eastAsia"/>
      </w:rPr>
    </w:lvl>
    <w:lvl w:ilvl="5" w:tentative="0">
      <w:start w:val="1"/>
      <w:numFmt w:val="decimal"/>
      <w:pStyle w:val="9"/>
      <w:suff w:val="nothing"/>
      <w:lvlText w:val="%6）"/>
      <w:lvlJc w:val="left"/>
      <w:pPr>
        <w:ind w:left="0" w:firstLine="402"/>
      </w:pPr>
      <w:rPr>
        <w:rFonts w:hint="eastAsia"/>
      </w:rPr>
    </w:lvl>
    <w:lvl w:ilvl="6" w:tentative="0">
      <w:start w:val="1"/>
      <w:numFmt w:val="lowerLetter"/>
      <w:pStyle w:val="10"/>
      <w:suff w:val="nothing"/>
      <w:lvlText w:val="%7．"/>
      <w:lvlJc w:val="left"/>
      <w:pPr>
        <w:ind w:left="0" w:firstLine="402"/>
      </w:pPr>
      <w:rPr>
        <w:rFonts w:hint="eastAsia"/>
      </w:rPr>
    </w:lvl>
    <w:lvl w:ilvl="7" w:tentative="0">
      <w:start w:val="1"/>
      <w:numFmt w:val="lowerLetter"/>
      <w:pStyle w:val="11"/>
      <w:suff w:val="nothing"/>
      <w:lvlText w:val="%8）"/>
      <w:lvlJc w:val="left"/>
      <w:pPr>
        <w:ind w:left="0" w:firstLine="402"/>
      </w:pPr>
      <w:rPr>
        <w:rFonts w:hint="eastAsia"/>
      </w:rPr>
    </w:lvl>
    <w:lvl w:ilvl="8" w:tentative="0">
      <w:start w:val="1"/>
      <w:numFmt w:val="lowerRoman"/>
      <w:pStyle w:val="12"/>
      <w:suff w:val="nothing"/>
      <w:lvlText w:val="%9 "/>
      <w:lvlJc w:val="left"/>
      <w:pPr>
        <w:ind w:left="0" w:firstLine="402"/>
      </w:pPr>
      <w:rPr>
        <w:rFonts w:hint="eastAsia"/>
      </w:rPr>
    </w:lvl>
  </w:abstractNum>
  <w:abstractNum w:abstractNumId="3">
    <w:nsid w:val="BBED0382"/>
    <w:multiLevelType w:val="multilevel"/>
    <w:tmpl w:val="BBED0382"/>
    <w:lvl w:ilvl="0" w:tentative="0">
      <w:start w:val="1"/>
      <w:numFmt w:val="decimal"/>
      <w:lvlText w:val="8.%1"/>
      <w:lvlJc w:val="left"/>
      <w:pPr>
        <w:tabs>
          <w:tab w:val="left" w:pos="0"/>
        </w:tabs>
        <w:ind w:left="0" w:firstLine="0"/>
      </w:pPr>
      <w:rPr>
        <w:rFonts w:hint="default" w:ascii="宋体" w:hAnsi="宋体" w:eastAsia="宋体" w:cs="宋体"/>
        <w:color w:val="auto"/>
      </w:rPr>
    </w:lvl>
    <w:lvl w:ilvl="1" w:tentative="0">
      <w:start w:val="1"/>
      <w:numFmt w:val="decimal"/>
      <w:lvlText w:val="%2、"/>
      <w:lvlJc w:val="left"/>
      <w:pPr>
        <w:tabs>
          <w:tab w:val="left" w:pos="1260"/>
        </w:tabs>
        <w:ind w:left="126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FC4CFAB1"/>
    <w:multiLevelType w:val="multilevel"/>
    <w:tmpl w:val="FC4CFAB1"/>
    <w:lvl w:ilvl="0" w:tentative="0">
      <w:start w:val="1"/>
      <w:numFmt w:val="decimal"/>
      <w:lvlText w:val="1.%1"/>
      <w:lvlJc w:val="left"/>
      <w:pPr>
        <w:tabs>
          <w:tab w:val="left" w:pos="0"/>
        </w:tabs>
        <w:ind w:left="0" w:firstLine="0"/>
      </w:pPr>
      <w:rPr>
        <w:rFonts w:hint="default" w:ascii="宋体" w:hAnsi="宋体" w:eastAsia="宋体" w:cs="宋体"/>
        <w:color w:val="auto"/>
      </w:rPr>
    </w:lvl>
    <w:lvl w:ilvl="1" w:tentative="0">
      <w:start w:val="1"/>
      <w:numFmt w:val="decimal"/>
      <w:lvlText w:val="%2、"/>
      <w:lvlJc w:val="left"/>
      <w:pPr>
        <w:tabs>
          <w:tab w:val="left" w:pos="1260"/>
        </w:tabs>
        <w:ind w:left="126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5BF32ED"/>
    <w:multiLevelType w:val="multilevel"/>
    <w:tmpl w:val="45BF32ED"/>
    <w:lvl w:ilvl="0" w:tentative="0">
      <w:start w:val="1"/>
      <w:numFmt w:val="decimal"/>
      <w:lvlText w:val="3.%1"/>
      <w:lvlJc w:val="left"/>
      <w:pPr>
        <w:tabs>
          <w:tab w:val="left" w:pos="0"/>
        </w:tabs>
        <w:ind w:left="0" w:firstLine="0"/>
      </w:pPr>
      <w:rPr>
        <w:rFonts w:hint="default" w:ascii="宋体" w:hAnsi="宋体" w:eastAsia="宋体" w:cs="宋体"/>
        <w:color w:val="auto"/>
      </w:rPr>
    </w:lvl>
    <w:lvl w:ilvl="1" w:tentative="0">
      <w:start w:val="1"/>
      <w:numFmt w:val="decimal"/>
      <w:lvlText w:val="%2、"/>
      <w:lvlJc w:val="left"/>
      <w:pPr>
        <w:tabs>
          <w:tab w:val="left" w:pos="1260"/>
        </w:tabs>
        <w:ind w:left="126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68A0D8D8"/>
    <w:multiLevelType w:val="singleLevel"/>
    <w:tmpl w:val="68A0D8D8"/>
    <w:lvl w:ilvl="0" w:tentative="0">
      <w:start w:val="1"/>
      <w:numFmt w:val="decimal"/>
      <w:suff w:val="nothing"/>
      <w:lvlText w:val="（%1）"/>
      <w:lvlJc w:val="left"/>
    </w:lvl>
  </w:abstractNum>
  <w:abstractNum w:abstractNumId="7">
    <w:nsid w:val="6DB3347F"/>
    <w:multiLevelType w:val="multilevel"/>
    <w:tmpl w:val="6DB3347F"/>
    <w:lvl w:ilvl="0" w:tentative="0">
      <w:start w:val="1"/>
      <w:numFmt w:val="decimal"/>
      <w:lvlText w:val="%1．"/>
      <w:lvlJc w:val="left"/>
      <w:pPr>
        <w:tabs>
          <w:tab w:val="left" w:pos="720"/>
        </w:tabs>
        <w:ind w:left="720" w:hanging="720"/>
      </w:pPr>
      <w:rPr>
        <w:rFonts w:hint="eastAsia"/>
      </w:rPr>
    </w:lvl>
    <w:lvl w:ilvl="1" w:tentative="0">
      <w:start w:val="1"/>
      <w:numFmt w:val="decimal"/>
      <w:pStyle w:val="28"/>
      <w:lvlText w:val="%2."/>
      <w:lvlJc w:val="left"/>
      <w:pPr>
        <w:tabs>
          <w:tab w:val="left" w:pos="780"/>
        </w:tabs>
        <w:ind w:left="780" w:hanging="360"/>
      </w:pPr>
      <w:rPr>
        <w:rFonts w:hint="eastAsia"/>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decimal"/>
      <w:lvlText w:val="%4."/>
      <w:lvlJc w:val="left"/>
      <w:pPr>
        <w:tabs>
          <w:tab w:val="left" w:pos="1680"/>
        </w:tabs>
        <w:ind w:left="1680" w:hanging="420"/>
      </w:pPr>
    </w:lvl>
    <w:lvl w:ilvl="4" w:tentative="0">
      <w:start w:val="1"/>
      <w:numFmt w:val="decimal"/>
      <w:lvlText w:val="%5）"/>
      <w:lvlJc w:val="left"/>
      <w:pPr>
        <w:tabs>
          <w:tab w:val="left" w:pos="2400"/>
        </w:tabs>
        <w:ind w:left="2400" w:hanging="720"/>
      </w:pPr>
      <w:rPr>
        <w:rFonts w:hint="eastAsia"/>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7"/>
  </w:num>
  <w:num w:numId="3">
    <w:abstractNumId w:val="4"/>
  </w:num>
  <w:num w:numId="4">
    <w:abstractNumId w:val="5"/>
  </w:num>
  <w:num w:numId="5">
    <w:abstractNumId w:val="6"/>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20"/>
  <w:drawingGridVerticalSpacing w:val="163"/>
  <w:displayHorizontalDrawingGridEvery w:val="1"/>
  <w:displayVerticalDrawingGridEvery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mMmQ5MWIyODE0ZGQ4ZDE0MGE0NjU5MTJiMzQ0ZDIifQ=="/>
    <w:docVar w:name="KSO_WPS_MARK_KEY" w:val="097dcc75-c9c1-4b71-aa04-1b344fcaa936"/>
  </w:docVars>
  <w:rsids>
    <w:rsidRoot w:val="00E11287"/>
    <w:rsid w:val="00010B77"/>
    <w:rsid w:val="00014FE0"/>
    <w:rsid w:val="0001738A"/>
    <w:rsid w:val="000210E9"/>
    <w:rsid w:val="00022125"/>
    <w:rsid w:val="00043E01"/>
    <w:rsid w:val="00051EFF"/>
    <w:rsid w:val="00053D5E"/>
    <w:rsid w:val="000638C7"/>
    <w:rsid w:val="00064B05"/>
    <w:rsid w:val="00065A1E"/>
    <w:rsid w:val="000676BE"/>
    <w:rsid w:val="00067AF3"/>
    <w:rsid w:val="000743D3"/>
    <w:rsid w:val="0008022C"/>
    <w:rsid w:val="00086FB0"/>
    <w:rsid w:val="000A6DDA"/>
    <w:rsid w:val="000B0782"/>
    <w:rsid w:val="000B2A4C"/>
    <w:rsid w:val="000B583B"/>
    <w:rsid w:val="000B5F26"/>
    <w:rsid w:val="000C1837"/>
    <w:rsid w:val="000C4E20"/>
    <w:rsid w:val="000D6DF4"/>
    <w:rsid w:val="000E53FB"/>
    <w:rsid w:val="000F247C"/>
    <w:rsid w:val="000F325E"/>
    <w:rsid w:val="000F6B6B"/>
    <w:rsid w:val="000F6E4D"/>
    <w:rsid w:val="001074E3"/>
    <w:rsid w:val="00107E93"/>
    <w:rsid w:val="00115E15"/>
    <w:rsid w:val="001201FD"/>
    <w:rsid w:val="00131940"/>
    <w:rsid w:val="00131B51"/>
    <w:rsid w:val="00144C50"/>
    <w:rsid w:val="001509CE"/>
    <w:rsid w:val="00177DC4"/>
    <w:rsid w:val="00181B48"/>
    <w:rsid w:val="001846B8"/>
    <w:rsid w:val="001849B5"/>
    <w:rsid w:val="00185483"/>
    <w:rsid w:val="00186010"/>
    <w:rsid w:val="0019681C"/>
    <w:rsid w:val="001A72A0"/>
    <w:rsid w:val="001D7F97"/>
    <w:rsid w:val="001E0FC2"/>
    <w:rsid w:val="001F7D9D"/>
    <w:rsid w:val="00213D52"/>
    <w:rsid w:val="00223E72"/>
    <w:rsid w:val="00237383"/>
    <w:rsid w:val="00240578"/>
    <w:rsid w:val="00240E88"/>
    <w:rsid w:val="0025193E"/>
    <w:rsid w:val="00256E2A"/>
    <w:rsid w:val="00257C76"/>
    <w:rsid w:val="00272298"/>
    <w:rsid w:val="00275B7F"/>
    <w:rsid w:val="00286656"/>
    <w:rsid w:val="00292BF5"/>
    <w:rsid w:val="002A1306"/>
    <w:rsid w:val="002A6B2C"/>
    <w:rsid w:val="002A6FE0"/>
    <w:rsid w:val="002D2A42"/>
    <w:rsid w:val="002D2B4C"/>
    <w:rsid w:val="002F0DF8"/>
    <w:rsid w:val="002F7C2D"/>
    <w:rsid w:val="003012C9"/>
    <w:rsid w:val="00303954"/>
    <w:rsid w:val="00314BF3"/>
    <w:rsid w:val="00321824"/>
    <w:rsid w:val="00324CF3"/>
    <w:rsid w:val="00340BE8"/>
    <w:rsid w:val="00351009"/>
    <w:rsid w:val="00360F0F"/>
    <w:rsid w:val="003654BF"/>
    <w:rsid w:val="00371DD7"/>
    <w:rsid w:val="00381035"/>
    <w:rsid w:val="00384CF1"/>
    <w:rsid w:val="00386B0F"/>
    <w:rsid w:val="0038786D"/>
    <w:rsid w:val="003A15CB"/>
    <w:rsid w:val="003A3E5C"/>
    <w:rsid w:val="003B032D"/>
    <w:rsid w:val="003C4A70"/>
    <w:rsid w:val="003D3F1C"/>
    <w:rsid w:val="003D48C7"/>
    <w:rsid w:val="003D6D63"/>
    <w:rsid w:val="003D7D32"/>
    <w:rsid w:val="0040240C"/>
    <w:rsid w:val="0040576B"/>
    <w:rsid w:val="0046109D"/>
    <w:rsid w:val="00461720"/>
    <w:rsid w:val="0046314F"/>
    <w:rsid w:val="004742FE"/>
    <w:rsid w:val="004871C0"/>
    <w:rsid w:val="0049334D"/>
    <w:rsid w:val="004A6DC5"/>
    <w:rsid w:val="004B5A17"/>
    <w:rsid w:val="004C09B3"/>
    <w:rsid w:val="004C0DA5"/>
    <w:rsid w:val="004C272B"/>
    <w:rsid w:val="004C66CB"/>
    <w:rsid w:val="004C6BCA"/>
    <w:rsid w:val="004D5558"/>
    <w:rsid w:val="004E756B"/>
    <w:rsid w:val="0050087A"/>
    <w:rsid w:val="00516559"/>
    <w:rsid w:val="0054256A"/>
    <w:rsid w:val="00545615"/>
    <w:rsid w:val="005461B5"/>
    <w:rsid w:val="00555686"/>
    <w:rsid w:val="005648B6"/>
    <w:rsid w:val="00576E1C"/>
    <w:rsid w:val="0058162D"/>
    <w:rsid w:val="00584651"/>
    <w:rsid w:val="005925A0"/>
    <w:rsid w:val="005969B6"/>
    <w:rsid w:val="005A5AE2"/>
    <w:rsid w:val="005B1C7E"/>
    <w:rsid w:val="005D7C9D"/>
    <w:rsid w:val="005E01E7"/>
    <w:rsid w:val="005E2888"/>
    <w:rsid w:val="005E617B"/>
    <w:rsid w:val="005F25CB"/>
    <w:rsid w:val="005F2FCD"/>
    <w:rsid w:val="0061067E"/>
    <w:rsid w:val="00611A7A"/>
    <w:rsid w:val="006253B6"/>
    <w:rsid w:val="00654768"/>
    <w:rsid w:val="006610D8"/>
    <w:rsid w:val="00670C70"/>
    <w:rsid w:val="0068233C"/>
    <w:rsid w:val="00682F99"/>
    <w:rsid w:val="00684C35"/>
    <w:rsid w:val="006904D9"/>
    <w:rsid w:val="006A2889"/>
    <w:rsid w:val="006A4881"/>
    <w:rsid w:val="006B06A0"/>
    <w:rsid w:val="006B398A"/>
    <w:rsid w:val="006C6FC8"/>
    <w:rsid w:val="006D1CF7"/>
    <w:rsid w:val="006E0D88"/>
    <w:rsid w:val="006E50B1"/>
    <w:rsid w:val="006F2E99"/>
    <w:rsid w:val="006F3778"/>
    <w:rsid w:val="006F4B80"/>
    <w:rsid w:val="00705EA9"/>
    <w:rsid w:val="007142BE"/>
    <w:rsid w:val="007212DE"/>
    <w:rsid w:val="00721FDC"/>
    <w:rsid w:val="00725454"/>
    <w:rsid w:val="007262E5"/>
    <w:rsid w:val="00734F9D"/>
    <w:rsid w:val="00737311"/>
    <w:rsid w:val="0074064A"/>
    <w:rsid w:val="00764F02"/>
    <w:rsid w:val="007717FC"/>
    <w:rsid w:val="007732BB"/>
    <w:rsid w:val="00777F06"/>
    <w:rsid w:val="0078345E"/>
    <w:rsid w:val="007952DC"/>
    <w:rsid w:val="007C3561"/>
    <w:rsid w:val="007F39B6"/>
    <w:rsid w:val="007F7B79"/>
    <w:rsid w:val="008014DC"/>
    <w:rsid w:val="008041D3"/>
    <w:rsid w:val="00814E9F"/>
    <w:rsid w:val="008162E0"/>
    <w:rsid w:val="00830DFC"/>
    <w:rsid w:val="00835120"/>
    <w:rsid w:val="00861B13"/>
    <w:rsid w:val="00862DD2"/>
    <w:rsid w:val="0086397E"/>
    <w:rsid w:val="0086432C"/>
    <w:rsid w:val="00867504"/>
    <w:rsid w:val="008766BB"/>
    <w:rsid w:val="00887139"/>
    <w:rsid w:val="0089280A"/>
    <w:rsid w:val="008928F4"/>
    <w:rsid w:val="008B0B85"/>
    <w:rsid w:val="008B74B7"/>
    <w:rsid w:val="008B79F6"/>
    <w:rsid w:val="008C099F"/>
    <w:rsid w:val="008D7646"/>
    <w:rsid w:val="008E18AF"/>
    <w:rsid w:val="008E2C63"/>
    <w:rsid w:val="008F055F"/>
    <w:rsid w:val="008F15C3"/>
    <w:rsid w:val="00901AF6"/>
    <w:rsid w:val="00910AA2"/>
    <w:rsid w:val="0091533F"/>
    <w:rsid w:val="00927F9A"/>
    <w:rsid w:val="009327A5"/>
    <w:rsid w:val="00935C97"/>
    <w:rsid w:val="00940F6A"/>
    <w:rsid w:val="009517E8"/>
    <w:rsid w:val="009608DC"/>
    <w:rsid w:val="00971A5A"/>
    <w:rsid w:val="009834EA"/>
    <w:rsid w:val="009844D5"/>
    <w:rsid w:val="009C588E"/>
    <w:rsid w:val="009D439B"/>
    <w:rsid w:val="009D56DD"/>
    <w:rsid w:val="009D6842"/>
    <w:rsid w:val="009E1901"/>
    <w:rsid w:val="009E61EB"/>
    <w:rsid w:val="009F68FE"/>
    <w:rsid w:val="00A04CBD"/>
    <w:rsid w:val="00A05972"/>
    <w:rsid w:val="00A109CD"/>
    <w:rsid w:val="00A32F56"/>
    <w:rsid w:val="00A51748"/>
    <w:rsid w:val="00A54837"/>
    <w:rsid w:val="00A551E5"/>
    <w:rsid w:val="00A565A7"/>
    <w:rsid w:val="00A57BEB"/>
    <w:rsid w:val="00A86D15"/>
    <w:rsid w:val="00A946EE"/>
    <w:rsid w:val="00A9516A"/>
    <w:rsid w:val="00A95E53"/>
    <w:rsid w:val="00AA10FC"/>
    <w:rsid w:val="00AA787F"/>
    <w:rsid w:val="00AB245F"/>
    <w:rsid w:val="00AB5EA1"/>
    <w:rsid w:val="00AC424A"/>
    <w:rsid w:val="00AC4F3A"/>
    <w:rsid w:val="00AC610C"/>
    <w:rsid w:val="00AC67EA"/>
    <w:rsid w:val="00AC7237"/>
    <w:rsid w:val="00AD104B"/>
    <w:rsid w:val="00AD6193"/>
    <w:rsid w:val="00AD6441"/>
    <w:rsid w:val="00AD6F99"/>
    <w:rsid w:val="00AE16B8"/>
    <w:rsid w:val="00AF68D8"/>
    <w:rsid w:val="00B1248C"/>
    <w:rsid w:val="00B13FE1"/>
    <w:rsid w:val="00B150D2"/>
    <w:rsid w:val="00B271ED"/>
    <w:rsid w:val="00B352DF"/>
    <w:rsid w:val="00B42220"/>
    <w:rsid w:val="00B56CB9"/>
    <w:rsid w:val="00B72F11"/>
    <w:rsid w:val="00B76D67"/>
    <w:rsid w:val="00B901CF"/>
    <w:rsid w:val="00B9509C"/>
    <w:rsid w:val="00B96C2B"/>
    <w:rsid w:val="00BA676D"/>
    <w:rsid w:val="00BB3B34"/>
    <w:rsid w:val="00BD5AC3"/>
    <w:rsid w:val="00BE553C"/>
    <w:rsid w:val="00BE6DC9"/>
    <w:rsid w:val="00BF24D8"/>
    <w:rsid w:val="00BF4B00"/>
    <w:rsid w:val="00C037B2"/>
    <w:rsid w:val="00C12196"/>
    <w:rsid w:val="00C12996"/>
    <w:rsid w:val="00C2462B"/>
    <w:rsid w:val="00C24A0C"/>
    <w:rsid w:val="00C35739"/>
    <w:rsid w:val="00C44FAC"/>
    <w:rsid w:val="00C47428"/>
    <w:rsid w:val="00C52C09"/>
    <w:rsid w:val="00C61723"/>
    <w:rsid w:val="00C62AC0"/>
    <w:rsid w:val="00C642F4"/>
    <w:rsid w:val="00C73961"/>
    <w:rsid w:val="00C91592"/>
    <w:rsid w:val="00C92ED7"/>
    <w:rsid w:val="00CA1C22"/>
    <w:rsid w:val="00CA2D23"/>
    <w:rsid w:val="00CA32A4"/>
    <w:rsid w:val="00CA511B"/>
    <w:rsid w:val="00CA6705"/>
    <w:rsid w:val="00CA6A8E"/>
    <w:rsid w:val="00CB7F63"/>
    <w:rsid w:val="00CD4D9E"/>
    <w:rsid w:val="00CE0387"/>
    <w:rsid w:val="00CF3D81"/>
    <w:rsid w:val="00D00966"/>
    <w:rsid w:val="00D031AC"/>
    <w:rsid w:val="00D03E1F"/>
    <w:rsid w:val="00D066BC"/>
    <w:rsid w:val="00D07737"/>
    <w:rsid w:val="00D12136"/>
    <w:rsid w:val="00D141B0"/>
    <w:rsid w:val="00D1563D"/>
    <w:rsid w:val="00D25150"/>
    <w:rsid w:val="00D31EA6"/>
    <w:rsid w:val="00D37898"/>
    <w:rsid w:val="00D44DB8"/>
    <w:rsid w:val="00D45929"/>
    <w:rsid w:val="00D462C5"/>
    <w:rsid w:val="00D53D82"/>
    <w:rsid w:val="00D61061"/>
    <w:rsid w:val="00D64CDB"/>
    <w:rsid w:val="00D65A18"/>
    <w:rsid w:val="00D93E46"/>
    <w:rsid w:val="00DA5C4F"/>
    <w:rsid w:val="00DB5E8C"/>
    <w:rsid w:val="00DB5EF6"/>
    <w:rsid w:val="00DC766E"/>
    <w:rsid w:val="00DE3E01"/>
    <w:rsid w:val="00DE6040"/>
    <w:rsid w:val="00DF49EC"/>
    <w:rsid w:val="00E035B9"/>
    <w:rsid w:val="00E11287"/>
    <w:rsid w:val="00E1133C"/>
    <w:rsid w:val="00E278D5"/>
    <w:rsid w:val="00E4587D"/>
    <w:rsid w:val="00E51B5B"/>
    <w:rsid w:val="00E6142F"/>
    <w:rsid w:val="00E66801"/>
    <w:rsid w:val="00E74F12"/>
    <w:rsid w:val="00E87BD0"/>
    <w:rsid w:val="00EA3F53"/>
    <w:rsid w:val="00EB11FD"/>
    <w:rsid w:val="00EB1DC5"/>
    <w:rsid w:val="00EB2F7E"/>
    <w:rsid w:val="00EB4AB1"/>
    <w:rsid w:val="00EB5F63"/>
    <w:rsid w:val="00EC2B36"/>
    <w:rsid w:val="00ED207A"/>
    <w:rsid w:val="00ED2268"/>
    <w:rsid w:val="00EE4427"/>
    <w:rsid w:val="00EF1233"/>
    <w:rsid w:val="00F27370"/>
    <w:rsid w:val="00F44F41"/>
    <w:rsid w:val="00F46B65"/>
    <w:rsid w:val="00F513BA"/>
    <w:rsid w:val="00F802E1"/>
    <w:rsid w:val="00F83FCA"/>
    <w:rsid w:val="00F86B1A"/>
    <w:rsid w:val="00F87AE5"/>
    <w:rsid w:val="00FA03A3"/>
    <w:rsid w:val="00FA68C3"/>
    <w:rsid w:val="00FD4DA1"/>
    <w:rsid w:val="00FD5FCD"/>
    <w:rsid w:val="00FD6DBE"/>
    <w:rsid w:val="00FD7D79"/>
    <w:rsid w:val="00FE3DD5"/>
    <w:rsid w:val="00FE42F6"/>
    <w:rsid w:val="00FE77E9"/>
    <w:rsid w:val="00FF5BA2"/>
    <w:rsid w:val="015D3E9B"/>
    <w:rsid w:val="02855079"/>
    <w:rsid w:val="029B103D"/>
    <w:rsid w:val="056A6F19"/>
    <w:rsid w:val="0636353F"/>
    <w:rsid w:val="07CB1808"/>
    <w:rsid w:val="08524FAD"/>
    <w:rsid w:val="0A5C46A7"/>
    <w:rsid w:val="0C482BFC"/>
    <w:rsid w:val="0D580C67"/>
    <w:rsid w:val="0DAF4501"/>
    <w:rsid w:val="10BB3A6D"/>
    <w:rsid w:val="112A05E4"/>
    <w:rsid w:val="13517C53"/>
    <w:rsid w:val="16183F19"/>
    <w:rsid w:val="16B3306D"/>
    <w:rsid w:val="16CC5BE3"/>
    <w:rsid w:val="1A112124"/>
    <w:rsid w:val="1CD05C33"/>
    <w:rsid w:val="1DC84C4D"/>
    <w:rsid w:val="1E273CE2"/>
    <w:rsid w:val="1E2E3F0E"/>
    <w:rsid w:val="210F3262"/>
    <w:rsid w:val="23FC7B02"/>
    <w:rsid w:val="2412247F"/>
    <w:rsid w:val="24A82C10"/>
    <w:rsid w:val="25E40DB9"/>
    <w:rsid w:val="279047A2"/>
    <w:rsid w:val="28FE6A04"/>
    <w:rsid w:val="29F36CC9"/>
    <w:rsid w:val="2A621B97"/>
    <w:rsid w:val="2AEF50BB"/>
    <w:rsid w:val="2B712FB7"/>
    <w:rsid w:val="2BFC63DB"/>
    <w:rsid w:val="2FEC0648"/>
    <w:rsid w:val="309D49B4"/>
    <w:rsid w:val="30B23269"/>
    <w:rsid w:val="33CE2A52"/>
    <w:rsid w:val="3656025E"/>
    <w:rsid w:val="37875A43"/>
    <w:rsid w:val="38F339B2"/>
    <w:rsid w:val="39AF6F9B"/>
    <w:rsid w:val="3A8501CC"/>
    <w:rsid w:val="3B3B338E"/>
    <w:rsid w:val="3B6E2210"/>
    <w:rsid w:val="3CFB44C3"/>
    <w:rsid w:val="3D2A4341"/>
    <w:rsid w:val="3E0535DE"/>
    <w:rsid w:val="3E906F3C"/>
    <w:rsid w:val="3FB91E98"/>
    <w:rsid w:val="40301904"/>
    <w:rsid w:val="40DC46B7"/>
    <w:rsid w:val="41722FD6"/>
    <w:rsid w:val="46FC5CDC"/>
    <w:rsid w:val="47D96BDA"/>
    <w:rsid w:val="47FE7670"/>
    <w:rsid w:val="4B626468"/>
    <w:rsid w:val="4BAF6324"/>
    <w:rsid w:val="4D3B4FA5"/>
    <w:rsid w:val="4D3D1807"/>
    <w:rsid w:val="4F9B542B"/>
    <w:rsid w:val="507052E1"/>
    <w:rsid w:val="557854AC"/>
    <w:rsid w:val="565A196F"/>
    <w:rsid w:val="56BA4098"/>
    <w:rsid w:val="58975545"/>
    <w:rsid w:val="59767808"/>
    <w:rsid w:val="5A0B7CB2"/>
    <w:rsid w:val="5B7E1E20"/>
    <w:rsid w:val="5C3D08BB"/>
    <w:rsid w:val="5C56433F"/>
    <w:rsid w:val="5CC170F1"/>
    <w:rsid w:val="5DB93D9B"/>
    <w:rsid w:val="5E7A0DBD"/>
    <w:rsid w:val="5F1F4855"/>
    <w:rsid w:val="5F4E2C56"/>
    <w:rsid w:val="5F812259"/>
    <w:rsid w:val="5F900EE0"/>
    <w:rsid w:val="627B61F9"/>
    <w:rsid w:val="6887588E"/>
    <w:rsid w:val="69082FD1"/>
    <w:rsid w:val="69FD5832"/>
    <w:rsid w:val="6A6E77BA"/>
    <w:rsid w:val="6CF155B1"/>
    <w:rsid w:val="6E13433D"/>
    <w:rsid w:val="6E2F2C7C"/>
    <w:rsid w:val="6E61656A"/>
    <w:rsid w:val="6F793947"/>
    <w:rsid w:val="706A53C9"/>
    <w:rsid w:val="746760BF"/>
    <w:rsid w:val="74B11140"/>
    <w:rsid w:val="782A08D7"/>
    <w:rsid w:val="790132F7"/>
    <w:rsid w:val="7AA160C4"/>
    <w:rsid w:val="7D370CE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before="100" w:beforeAutospacing="1" w:after="100" w:afterAutospacing="1" w:line="360" w:lineRule="atLeast"/>
      <w:ind w:firstLine="302" w:firstLineChars="302"/>
      <w:textAlignment w:val="baseline"/>
    </w:pPr>
    <w:rPr>
      <w:rFonts w:ascii="Times New Roman" w:hAnsi="Times New Roman" w:eastAsia="宋体" w:cs="Times New Roman"/>
      <w:sz w:val="24"/>
      <w:lang w:val="en-US" w:eastAsia="zh-CN" w:bidi="ar-SA"/>
    </w:rPr>
  </w:style>
  <w:style w:type="paragraph" w:styleId="4">
    <w:name w:val="heading 1"/>
    <w:basedOn w:val="1"/>
    <w:next w:val="1"/>
    <w:qFormat/>
    <w:uiPriority w:val="0"/>
    <w:pPr>
      <w:keepNext/>
      <w:keepLines/>
      <w:numPr>
        <w:ilvl w:val="0"/>
        <w:numId w:val="1"/>
      </w:numPr>
      <w:spacing w:before="340" w:beforeLines="0" w:beforeAutospacing="0" w:after="330" w:afterLines="0" w:afterAutospacing="0" w:line="576" w:lineRule="auto"/>
      <w:ind w:firstLine="0" w:firstLineChars="0"/>
      <w:outlineLvl w:val="0"/>
    </w:pPr>
    <w:rPr>
      <w:b/>
      <w:kern w:val="44"/>
      <w:sz w:val="44"/>
    </w:rPr>
  </w:style>
  <w:style w:type="paragraph" w:styleId="5">
    <w:name w:val="heading 2"/>
    <w:basedOn w:val="1"/>
    <w:next w:val="1"/>
    <w:unhideWhenUsed/>
    <w:qFormat/>
    <w:uiPriority w:val="0"/>
    <w:pPr>
      <w:keepNext/>
      <w:keepLines/>
      <w:numPr>
        <w:ilvl w:val="1"/>
        <w:numId w:val="1"/>
      </w:numPr>
      <w:spacing w:before="260" w:beforeLines="0" w:beforeAutospacing="0" w:after="260" w:afterLines="0" w:afterAutospacing="0" w:line="413" w:lineRule="auto"/>
      <w:ind w:firstLine="0" w:firstLineChars="0"/>
      <w:outlineLvl w:val="1"/>
    </w:pPr>
    <w:rPr>
      <w:rFonts w:ascii="Arial" w:hAnsi="Arial" w:eastAsia="黑体"/>
      <w:b/>
      <w:sz w:val="32"/>
    </w:rPr>
  </w:style>
  <w:style w:type="paragraph" w:styleId="6">
    <w:name w:val="heading 3"/>
    <w:basedOn w:val="1"/>
    <w:next w:val="1"/>
    <w:unhideWhenUsed/>
    <w:qFormat/>
    <w:uiPriority w:val="0"/>
    <w:pPr>
      <w:keepNext/>
      <w:keepLines/>
      <w:numPr>
        <w:ilvl w:val="2"/>
        <w:numId w:val="1"/>
      </w:numPr>
      <w:spacing w:before="260" w:beforeLines="0" w:beforeAutospacing="0" w:after="260" w:afterLines="0" w:afterAutospacing="0" w:line="413" w:lineRule="auto"/>
      <w:ind w:firstLine="400" w:firstLineChars="0"/>
      <w:outlineLvl w:val="2"/>
    </w:pPr>
    <w:rPr>
      <w:b/>
      <w:sz w:val="32"/>
    </w:rPr>
  </w:style>
  <w:style w:type="paragraph" w:styleId="7">
    <w:name w:val="heading 4"/>
    <w:basedOn w:val="1"/>
    <w:next w:val="1"/>
    <w:unhideWhenUsed/>
    <w:qFormat/>
    <w:uiPriority w:val="0"/>
    <w:pPr>
      <w:keepNext/>
      <w:keepLines/>
      <w:numPr>
        <w:ilvl w:val="3"/>
        <w:numId w:val="1"/>
      </w:numPr>
      <w:spacing w:before="280" w:beforeLines="0" w:beforeAutospacing="0" w:after="290" w:afterLines="0" w:afterAutospacing="0" w:line="372" w:lineRule="auto"/>
      <w:ind w:firstLine="402" w:firstLineChars="0"/>
      <w:outlineLvl w:val="3"/>
    </w:pPr>
    <w:rPr>
      <w:rFonts w:ascii="Arial" w:hAnsi="Arial" w:eastAsia="黑体"/>
      <w:b/>
      <w:sz w:val="28"/>
    </w:rPr>
  </w:style>
  <w:style w:type="paragraph" w:styleId="8">
    <w:name w:val="heading 5"/>
    <w:basedOn w:val="1"/>
    <w:next w:val="1"/>
    <w:unhideWhenUsed/>
    <w:qFormat/>
    <w:uiPriority w:val="0"/>
    <w:pPr>
      <w:keepNext/>
      <w:keepLines/>
      <w:numPr>
        <w:ilvl w:val="4"/>
        <w:numId w:val="1"/>
      </w:numPr>
      <w:spacing w:before="280" w:beforeLines="0" w:beforeAutospacing="0" w:after="290" w:afterLines="0" w:afterAutospacing="0" w:line="372" w:lineRule="auto"/>
      <w:ind w:firstLine="402" w:firstLineChars="0"/>
      <w:outlineLvl w:val="4"/>
    </w:pPr>
    <w:rPr>
      <w:b/>
      <w:sz w:val="28"/>
    </w:rPr>
  </w:style>
  <w:style w:type="paragraph" w:styleId="9">
    <w:name w:val="heading 6"/>
    <w:basedOn w:val="1"/>
    <w:next w:val="1"/>
    <w:unhideWhenUsed/>
    <w:qFormat/>
    <w:uiPriority w:val="0"/>
    <w:pPr>
      <w:keepNext/>
      <w:keepLines/>
      <w:numPr>
        <w:ilvl w:val="5"/>
        <w:numId w:val="1"/>
      </w:numPr>
      <w:spacing w:before="240" w:beforeLines="0" w:beforeAutospacing="0" w:after="64" w:afterLines="0" w:afterAutospacing="0" w:line="317" w:lineRule="auto"/>
      <w:ind w:firstLine="402" w:firstLineChars="0"/>
      <w:outlineLvl w:val="5"/>
    </w:pPr>
    <w:rPr>
      <w:rFonts w:ascii="Arial" w:hAnsi="Arial" w:eastAsia="黑体"/>
      <w:b/>
      <w:sz w:val="24"/>
    </w:rPr>
  </w:style>
  <w:style w:type="paragraph" w:styleId="10">
    <w:name w:val="heading 7"/>
    <w:basedOn w:val="1"/>
    <w:next w:val="1"/>
    <w:unhideWhenUsed/>
    <w:qFormat/>
    <w:uiPriority w:val="0"/>
    <w:pPr>
      <w:keepNext/>
      <w:keepLines/>
      <w:numPr>
        <w:ilvl w:val="6"/>
        <w:numId w:val="1"/>
      </w:numPr>
      <w:spacing w:before="240" w:beforeLines="0" w:beforeAutospacing="0" w:after="64" w:afterLines="0" w:afterAutospacing="0" w:line="317" w:lineRule="auto"/>
      <w:ind w:firstLine="402" w:firstLineChars="0"/>
      <w:outlineLvl w:val="6"/>
    </w:pPr>
    <w:rPr>
      <w:b/>
      <w:sz w:val="24"/>
    </w:rPr>
  </w:style>
  <w:style w:type="paragraph" w:styleId="11">
    <w:name w:val="heading 8"/>
    <w:basedOn w:val="1"/>
    <w:next w:val="1"/>
    <w:unhideWhenUsed/>
    <w:qFormat/>
    <w:uiPriority w:val="0"/>
    <w:pPr>
      <w:keepNext/>
      <w:keepLines/>
      <w:numPr>
        <w:ilvl w:val="7"/>
        <w:numId w:val="1"/>
      </w:numPr>
      <w:spacing w:before="240" w:beforeLines="0" w:beforeAutospacing="0" w:after="64" w:afterLines="0" w:afterAutospacing="0" w:line="317" w:lineRule="auto"/>
      <w:ind w:firstLine="402" w:firstLineChars="0"/>
      <w:outlineLvl w:val="7"/>
    </w:pPr>
    <w:rPr>
      <w:rFonts w:ascii="Arial" w:hAnsi="Arial" w:eastAsia="黑体"/>
      <w:sz w:val="24"/>
    </w:rPr>
  </w:style>
  <w:style w:type="paragraph" w:styleId="12">
    <w:name w:val="heading 9"/>
    <w:basedOn w:val="1"/>
    <w:next w:val="1"/>
    <w:unhideWhenUsed/>
    <w:qFormat/>
    <w:uiPriority w:val="0"/>
    <w:pPr>
      <w:keepNext/>
      <w:keepLines/>
      <w:numPr>
        <w:ilvl w:val="8"/>
        <w:numId w:val="1"/>
      </w:numPr>
      <w:spacing w:before="240" w:beforeLines="0" w:beforeAutospacing="0" w:after="64" w:afterLines="0" w:afterAutospacing="0" w:line="317" w:lineRule="auto"/>
      <w:ind w:firstLine="402" w:firstLineChars="0"/>
      <w:outlineLvl w:val="8"/>
    </w:pPr>
    <w:rPr>
      <w:rFonts w:ascii="Arial" w:hAnsi="Arial" w:eastAsia="黑体"/>
      <w:sz w:val="21"/>
    </w:rPr>
  </w:style>
  <w:style w:type="character" w:default="1" w:styleId="24">
    <w:name w:val="Default Paragraph Font"/>
    <w:semiHidden/>
    <w:qFormat/>
    <w:uiPriority w:val="0"/>
  </w:style>
  <w:style w:type="table" w:default="1" w:styleId="22">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2">
    <w:name w:val="Body Text"/>
    <w:basedOn w:val="1"/>
    <w:next w:val="3"/>
    <w:qFormat/>
    <w:uiPriority w:val="1"/>
    <w:rPr>
      <w:rFonts w:ascii="宋体" w:hAnsi="宋体" w:eastAsia="宋体" w:cs="宋体"/>
      <w:sz w:val="30"/>
      <w:szCs w:val="30"/>
      <w:lang w:val="zh-CN" w:eastAsia="zh-CN" w:bidi="zh-CN"/>
    </w:rPr>
  </w:style>
  <w:style w:type="paragraph" w:styleId="3">
    <w:name w:val="toc 5"/>
    <w:basedOn w:val="1"/>
    <w:next w:val="1"/>
    <w:qFormat/>
    <w:uiPriority w:val="0"/>
    <w:pPr>
      <w:wordWrap w:val="0"/>
      <w:spacing w:before="0" w:line="240" w:lineRule="auto"/>
      <w:ind w:left="1275"/>
      <w:jc w:val="both"/>
    </w:pPr>
    <w:rPr>
      <w:sz w:val="21"/>
    </w:rPr>
  </w:style>
  <w:style w:type="paragraph" w:styleId="13">
    <w:name w:val="Normal Indent"/>
    <w:basedOn w:val="1"/>
    <w:qFormat/>
    <w:uiPriority w:val="0"/>
    <w:pPr>
      <w:widowControl w:val="0"/>
      <w:adjustRightInd w:val="0"/>
      <w:spacing w:line="360" w:lineRule="atLeast"/>
      <w:ind w:firstLine="420"/>
      <w:textAlignment w:val="baseline"/>
    </w:pPr>
    <w:rPr>
      <w:sz w:val="24"/>
    </w:rPr>
  </w:style>
  <w:style w:type="paragraph" w:styleId="14">
    <w:name w:val="annotation text"/>
    <w:basedOn w:val="1"/>
    <w:link w:val="30"/>
    <w:qFormat/>
    <w:uiPriority w:val="0"/>
    <w:pPr>
      <w:textAlignment w:val="auto"/>
    </w:pPr>
    <w:rPr>
      <w:rFonts w:ascii="宋体" w:hAnsi="宋体"/>
    </w:rPr>
  </w:style>
  <w:style w:type="paragraph" w:styleId="15">
    <w:name w:val="Plain Text"/>
    <w:basedOn w:val="1"/>
    <w:qFormat/>
    <w:uiPriority w:val="0"/>
    <w:pPr>
      <w:adjustRightInd/>
      <w:spacing w:line="240" w:lineRule="auto"/>
      <w:jc w:val="both"/>
      <w:textAlignment w:val="auto"/>
    </w:pPr>
    <w:rPr>
      <w:rFonts w:ascii="宋体" w:hAnsi="Courier New"/>
      <w:kern w:val="2"/>
      <w:sz w:val="21"/>
    </w:rPr>
  </w:style>
  <w:style w:type="paragraph" w:styleId="16">
    <w:name w:val="Date"/>
    <w:basedOn w:val="1"/>
    <w:next w:val="1"/>
    <w:link w:val="31"/>
    <w:qFormat/>
    <w:uiPriority w:val="0"/>
    <w:pPr>
      <w:ind w:left="100" w:leftChars="2500"/>
    </w:pPr>
  </w:style>
  <w:style w:type="paragraph" w:styleId="17">
    <w:name w:val="Balloon Text"/>
    <w:basedOn w:val="1"/>
    <w:semiHidden/>
    <w:qFormat/>
    <w:uiPriority w:val="0"/>
    <w:rPr>
      <w:sz w:val="18"/>
      <w:szCs w:val="18"/>
    </w:rPr>
  </w:style>
  <w:style w:type="paragraph" w:styleId="18">
    <w:name w:val="footer"/>
    <w:basedOn w:val="1"/>
    <w:qFormat/>
    <w:uiPriority w:val="0"/>
    <w:pPr>
      <w:tabs>
        <w:tab w:val="center" w:pos="4153"/>
        <w:tab w:val="right" w:pos="8306"/>
      </w:tabs>
      <w:snapToGrid w:val="0"/>
      <w:spacing w:line="240" w:lineRule="atLeast"/>
    </w:pPr>
    <w:rPr>
      <w:sz w:val="18"/>
      <w:szCs w:val="18"/>
    </w:rPr>
  </w:style>
  <w:style w:type="paragraph" w:styleId="19">
    <w:name w:val="header"/>
    <w:basedOn w:val="1"/>
    <w:link w:val="32"/>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0">
    <w:name w:val="toc 1"/>
    <w:basedOn w:val="1"/>
    <w:next w:val="1"/>
    <w:unhideWhenUsed/>
    <w:qFormat/>
    <w:uiPriority w:val="39"/>
    <w:pPr>
      <w:ind w:firstLine="0" w:firstLineChars="0"/>
    </w:pPr>
    <w:rPr>
      <w:rFonts w:ascii="Times New Roman" w:hAnsi="Times New Roman" w:eastAsia="仿宋_GB2312"/>
    </w:rPr>
  </w:style>
  <w:style w:type="paragraph" w:styleId="21">
    <w:name w:val="Normal (Web)"/>
    <w:basedOn w:val="1"/>
    <w:unhideWhenUsed/>
    <w:qFormat/>
    <w:uiPriority w:val="99"/>
    <w:pPr>
      <w:widowControl/>
      <w:adjustRightInd/>
      <w:spacing w:line="240" w:lineRule="auto"/>
      <w:ind w:firstLine="0" w:firstLineChars="0"/>
      <w:textAlignment w:val="auto"/>
    </w:pPr>
    <w:rPr>
      <w:rFonts w:ascii="宋体" w:hAnsi="宋体" w:cs="宋体"/>
      <w:szCs w:val="24"/>
    </w:rPr>
  </w:style>
  <w:style w:type="table" w:styleId="23">
    <w:name w:val="Table Grid"/>
    <w:basedOn w:val="2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5">
    <w:name w:val="page number"/>
    <w:basedOn w:val="24"/>
    <w:qFormat/>
    <w:uiPriority w:val="0"/>
  </w:style>
  <w:style w:type="character" w:styleId="26">
    <w:name w:val="annotation reference"/>
    <w:basedOn w:val="24"/>
    <w:qFormat/>
    <w:uiPriority w:val="0"/>
    <w:rPr>
      <w:sz w:val="21"/>
      <w:szCs w:val="21"/>
    </w:rPr>
  </w:style>
  <w:style w:type="paragraph" w:customStyle="1" w:styleId="27">
    <w:name w:val="p0"/>
    <w:basedOn w:val="1"/>
    <w:qFormat/>
    <w:uiPriority w:val="0"/>
    <w:pPr>
      <w:widowControl/>
      <w:adjustRightInd/>
      <w:snapToGrid w:val="0"/>
      <w:spacing w:beforeAutospacing="0" w:afterAutospacing="0"/>
      <w:ind w:firstLine="634" w:firstLineChars="0"/>
      <w:textAlignment w:val="auto"/>
    </w:pPr>
    <w:rPr>
      <w:szCs w:val="24"/>
    </w:rPr>
  </w:style>
  <w:style w:type="paragraph" w:customStyle="1" w:styleId="28">
    <w:name w:val="qHead_Section"/>
    <w:basedOn w:val="1"/>
    <w:qFormat/>
    <w:uiPriority w:val="0"/>
    <w:pPr>
      <w:widowControl/>
      <w:numPr>
        <w:ilvl w:val="1"/>
        <w:numId w:val="2"/>
      </w:numPr>
      <w:tabs>
        <w:tab w:val="left" w:pos="600"/>
        <w:tab w:val="left" w:pos="680"/>
        <w:tab w:val="right" w:leader="dot" w:pos="9356"/>
      </w:tabs>
      <w:overflowPunct w:val="0"/>
      <w:autoSpaceDE w:val="0"/>
      <w:autoSpaceDN w:val="0"/>
      <w:spacing w:before="300" w:beforeLines="300" w:beforeAutospacing="0" w:after="0" w:afterAutospacing="0" w:line="0" w:lineRule="atLeast"/>
      <w:ind w:firstLineChars="0"/>
      <w:jc w:val="both"/>
    </w:pPr>
    <w:rPr>
      <w:rFonts w:eastAsia="仿宋_GB2312"/>
      <w:b/>
      <w:sz w:val="36"/>
    </w:rPr>
  </w:style>
  <w:style w:type="paragraph" w:styleId="29">
    <w:name w:val="List Paragraph"/>
    <w:basedOn w:val="1"/>
    <w:qFormat/>
    <w:uiPriority w:val="0"/>
    <w:pPr>
      <w:adjustRightInd/>
      <w:spacing w:before="0" w:beforeAutospacing="0" w:after="0" w:afterAutospacing="0" w:line="240" w:lineRule="auto"/>
      <w:ind w:firstLine="200" w:firstLineChars="200"/>
      <w:jc w:val="both"/>
      <w:textAlignment w:val="auto"/>
    </w:pPr>
    <w:rPr>
      <w:rFonts w:ascii="Calibri" w:hAnsi="Calibri" w:cs="宋体"/>
      <w:kern w:val="2"/>
      <w:sz w:val="21"/>
      <w:szCs w:val="21"/>
    </w:rPr>
  </w:style>
  <w:style w:type="character" w:customStyle="1" w:styleId="30">
    <w:name w:val="批注文字 Char"/>
    <w:basedOn w:val="24"/>
    <w:link w:val="14"/>
    <w:qFormat/>
    <w:locked/>
    <w:uiPriority w:val="0"/>
    <w:rPr>
      <w:rFonts w:ascii="宋体" w:hAnsi="宋体" w:eastAsia="宋体"/>
      <w:sz w:val="24"/>
      <w:lang w:val="en-US" w:eastAsia="zh-CN" w:bidi="ar-SA"/>
    </w:rPr>
  </w:style>
  <w:style w:type="character" w:customStyle="1" w:styleId="31">
    <w:name w:val="日期 Char"/>
    <w:basedOn w:val="24"/>
    <w:link w:val="16"/>
    <w:qFormat/>
    <w:uiPriority w:val="0"/>
    <w:rPr>
      <w:sz w:val="24"/>
    </w:rPr>
  </w:style>
  <w:style w:type="character" w:customStyle="1" w:styleId="32">
    <w:name w:val="页眉 Char"/>
    <w:link w:val="19"/>
    <w:qFormat/>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 (Beijing) Limited</Company>
  <Pages>5</Pages>
  <Words>3145</Words>
  <Characters>3429</Characters>
  <Lines>23</Lines>
  <Paragraphs>6</Paragraphs>
  <TotalTime>2</TotalTime>
  <ScaleCrop>false</ScaleCrop>
  <LinksUpToDate>false</LinksUpToDate>
  <CharactersWithSpaces>3559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2014-10-21T07:55:00Z</dcterms:created>
  <dc:creator>Lenovo User</dc:creator>
  <cp:lastModifiedBy>王述利</cp:lastModifiedBy>
  <cp:lastPrinted>2016-05-05T03:31:00Z</cp:lastPrinted>
  <dcterms:modified xsi:type="dcterms:W3CDTF">2026-03-13T04:00:07Z</dcterms:modified>
  <dc:title>甘肃酒钢集团本部不锈钢冷轧 </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C7C215F6DF774A90BBC07AAF099C37EC</vt:lpwstr>
  </property>
  <property fmtid="{D5CDD505-2E9C-101B-9397-08002B2CF9AE}" pid="4" name="KSOTemplateDocerSaveRecord">
    <vt:lpwstr>eyJoZGlkIjoiM2FlODcxZDRhNDZkNmY5M2ZlZmJkOWIyYWY1ZTZkNDgiLCJ1c2VySWQiOiIxNDg5MzA2NzY2In0=</vt:lpwstr>
  </property>
</Properties>
</file>