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w:t>酒钢集团宏兴股份公司碳钢薄板厂</w:t>
      </w:r>
      <w:r>
        <w:rPr>
          <w:rFonts w:hint="eastAsia"/>
          <w:b/>
          <w:sz w:val="32"/>
          <w:szCs w:val="32"/>
          <w:lang w:eastAsia="zh-CN"/>
        </w:rPr>
        <w:t>钢包合成渣</w:t>
      </w:r>
      <w:r>
        <w:rPr>
          <w:rFonts w:hint="eastAsia"/>
          <w:b/>
          <w:sz w:val="32"/>
          <w:szCs w:val="32"/>
        </w:rPr>
        <w:t>技术</w:t>
      </w:r>
      <w:r>
        <w:rPr>
          <w:rFonts w:hint="eastAsia"/>
          <w:b/>
          <w:sz w:val="32"/>
          <w:szCs w:val="32"/>
          <w:lang w:val="en-US" w:eastAsia="zh-CN"/>
        </w:rPr>
        <w:t>规格书</w:t>
      </w: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甲方：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 xml:space="preserve">甘肃酒钢集团宏兴钢铁股份有限公司  </w:t>
      </w:r>
      <w:bookmarkStart w:id="0" w:name="_GoBack"/>
      <w:bookmarkEnd w:id="0"/>
    </w:p>
    <w:p>
      <w:pPr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乙方：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一、产品</w:t>
      </w:r>
      <w:r>
        <w:rPr>
          <w:rFonts w:hint="eastAsia"/>
          <w:sz w:val="28"/>
          <w:szCs w:val="28"/>
          <w:lang w:eastAsia="zh-CN"/>
        </w:rPr>
        <w:t>供货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供酒钢宏兴股份</w:t>
      </w:r>
      <w:r>
        <w:rPr>
          <w:rFonts w:hint="eastAsia"/>
          <w:sz w:val="28"/>
          <w:szCs w:val="28"/>
        </w:rPr>
        <w:t>碳钢薄板厂</w:t>
      </w:r>
      <w:r>
        <w:rPr>
          <w:rFonts w:hint="eastAsia"/>
          <w:sz w:val="28"/>
          <w:szCs w:val="28"/>
          <w:lang w:val="sq-AL" w:eastAsia="zh-CN"/>
        </w:rPr>
        <w:t>钢包合成渣</w:t>
      </w:r>
      <w:r>
        <w:rPr>
          <w:rFonts w:hint="eastAsia"/>
          <w:sz w:val="28"/>
          <w:szCs w:val="28"/>
          <w:lang w:eastAsia="zh-CN"/>
        </w:rPr>
        <w:t>采购使用</w:t>
      </w:r>
      <w:r>
        <w:rPr>
          <w:rFonts w:hint="eastAsia"/>
          <w:sz w:val="28"/>
          <w:szCs w:val="28"/>
        </w:rPr>
        <w:t>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二、</w:t>
      </w:r>
      <w:r>
        <w:rPr>
          <w:rFonts w:hint="eastAsia"/>
          <w:sz w:val="28"/>
          <w:szCs w:val="28"/>
        </w:rPr>
        <w:t>技术规格及技术要求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（一）</w:t>
      </w:r>
      <w:r>
        <w:rPr>
          <w:rFonts w:hint="eastAsia"/>
          <w:sz w:val="28"/>
          <w:szCs w:val="28"/>
        </w:rPr>
        <w:t>使用环境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</w:rPr>
        <w:t>使用地点：碳钢薄板厂转炉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</w:t>
      </w:r>
      <w:r>
        <w:rPr>
          <w:rFonts w:hint="eastAsia"/>
          <w:sz w:val="28"/>
          <w:szCs w:val="28"/>
        </w:rPr>
        <w:t>使用环境：室内、环境温度-</w:t>
      </w:r>
      <w:r>
        <w:rPr>
          <w:rFonts w:hint="eastAsia"/>
          <w:sz w:val="28"/>
          <w:szCs w:val="28"/>
          <w:lang w:val="en-US" w:eastAsia="zh-CN"/>
        </w:rPr>
        <w:t>25</w:t>
      </w:r>
      <w:r>
        <w:rPr>
          <w:rFonts w:hint="eastAsia"/>
          <w:sz w:val="28"/>
          <w:szCs w:val="28"/>
        </w:rPr>
        <w:t>~</w:t>
      </w:r>
      <w:r>
        <w:rPr>
          <w:rFonts w:hint="eastAsia"/>
          <w:sz w:val="28"/>
          <w:szCs w:val="28"/>
          <w:lang w:val="en-US" w:eastAsia="zh-CN"/>
        </w:rPr>
        <w:t>45</w:t>
      </w:r>
      <w:r>
        <w:rPr>
          <w:rFonts w:hint="eastAsia"/>
          <w:sz w:val="28"/>
          <w:szCs w:val="28"/>
        </w:rPr>
        <w:t>℃</w:t>
      </w:r>
      <w:r>
        <w:rPr>
          <w:rFonts w:hint="eastAsia"/>
          <w:sz w:val="28"/>
          <w:szCs w:val="28"/>
          <w:lang w:eastAsia="zh-CN"/>
        </w:rPr>
        <w:t>，钢水温度</w:t>
      </w:r>
      <w:r>
        <w:rPr>
          <w:rFonts w:hint="eastAsia"/>
          <w:sz w:val="28"/>
          <w:szCs w:val="28"/>
          <w:lang w:val="en-US" w:eastAsia="zh-CN"/>
        </w:rPr>
        <w:t>1580</w:t>
      </w:r>
      <w:r>
        <w:rPr>
          <w:rFonts w:hint="eastAsia"/>
          <w:sz w:val="28"/>
          <w:szCs w:val="28"/>
        </w:rPr>
        <w:t>℃~</w:t>
      </w:r>
      <w:r>
        <w:rPr>
          <w:rFonts w:hint="eastAsia"/>
          <w:sz w:val="28"/>
          <w:szCs w:val="28"/>
          <w:lang w:val="en-US" w:eastAsia="zh-CN"/>
        </w:rPr>
        <w:t>1720</w:t>
      </w:r>
      <w:r>
        <w:rPr>
          <w:rFonts w:hint="eastAsia"/>
          <w:sz w:val="28"/>
          <w:szCs w:val="28"/>
        </w:rPr>
        <w:t>℃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（二）</w:t>
      </w:r>
      <w:r>
        <w:rPr>
          <w:rFonts w:hint="eastAsia"/>
          <w:sz w:val="28"/>
          <w:szCs w:val="28"/>
        </w:rPr>
        <w:t>技术要求：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1.成份要求</w:t>
      </w:r>
    </w:p>
    <w:tbl>
      <w:tblPr>
        <w:tblStyle w:val="5"/>
        <w:tblW w:w="499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056"/>
        <w:gridCol w:w="1056"/>
        <w:gridCol w:w="785"/>
        <w:gridCol w:w="868"/>
        <w:gridCol w:w="881"/>
        <w:gridCol w:w="881"/>
        <w:gridCol w:w="1053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pct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元素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CaO</w:t>
            </w:r>
          </w:p>
        </w:tc>
        <w:tc>
          <w:tcPr>
            <w:tcW w:w="490" w:type="pct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Al2O3</w:t>
            </w:r>
          </w:p>
        </w:tc>
        <w:tc>
          <w:tcPr>
            <w:tcW w:w="490" w:type="pct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SiO2</w:t>
            </w:r>
          </w:p>
        </w:tc>
        <w:tc>
          <w:tcPr>
            <w:tcW w:w="538" w:type="pct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MgO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P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S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H2O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粒度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pct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钢包合成渣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55%—65%</w:t>
            </w:r>
          </w:p>
        </w:tc>
        <w:tc>
          <w:tcPr>
            <w:tcW w:w="490" w:type="pct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15%—25%</w:t>
            </w:r>
          </w:p>
        </w:tc>
        <w:tc>
          <w:tcPr>
            <w:tcW w:w="490" w:type="pct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≤5%</w:t>
            </w:r>
          </w:p>
        </w:tc>
        <w:tc>
          <w:tcPr>
            <w:tcW w:w="538" w:type="pct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≤8%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≤0.08%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≤0.08%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≤1.5%</w:t>
            </w:r>
          </w:p>
        </w:tc>
        <w:tc>
          <w:tcPr>
            <w:tcW w:w="647" w:type="pct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5-50mm≥80%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备注：根据钢包合成渣的使用要求，该成分中的CaO、SiO2的具体含量可在要求的范围内进行调整，但必须达到钢包合成渣的使用效果要求。P、S、H2O含量必须达到控制要求，在产品到货时附带产品检验成份报告单。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2.粒度：粒度5mm至50mm的大于80%。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3.落下强度：随机取10个成品球，1米高度自由落体到钢板破裂个数不超过2个。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4.加工工艺要求：钢包合成渣要求干压成球，不添加粘合剂，保证压球的强度，高度1m以上的钢板下落后不破碎，不易粉化。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5.</w:t>
      </w:r>
      <w:r>
        <w:rPr>
          <w:rFonts w:hint="eastAsia"/>
          <w:sz w:val="28"/>
          <w:szCs w:val="28"/>
        </w:rPr>
        <w:t>供货范围（提供主要设备组成）：无</w:t>
      </w:r>
      <w:r>
        <w:rPr>
          <w:rFonts w:hint="eastAsia"/>
          <w:sz w:val="28"/>
          <w:szCs w:val="28"/>
          <w:lang w:eastAsia="zh-CN"/>
        </w:rPr>
        <w:t>随机</w:t>
      </w:r>
      <w:r>
        <w:rPr>
          <w:rFonts w:hint="eastAsia"/>
          <w:sz w:val="28"/>
          <w:szCs w:val="28"/>
        </w:rPr>
        <w:t>备件需求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供货数量以最终</w:t>
      </w:r>
      <w:r>
        <w:rPr>
          <w:rFonts w:hint="eastAsia"/>
          <w:sz w:val="28"/>
          <w:szCs w:val="28"/>
          <w:lang w:eastAsia="zh-CN"/>
        </w:rPr>
        <w:t>合同签订量为准</w:t>
      </w:r>
      <w:r>
        <w:rPr>
          <w:rFonts w:hint="eastAsia"/>
          <w:sz w:val="28"/>
          <w:szCs w:val="28"/>
        </w:rPr>
        <w:t>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6.</w:t>
      </w:r>
      <w:r>
        <w:rPr>
          <w:rFonts w:hint="eastAsia"/>
          <w:sz w:val="28"/>
          <w:szCs w:val="28"/>
        </w:rPr>
        <w:t>验收执行的</w:t>
      </w:r>
      <w:r>
        <w:rPr>
          <w:rFonts w:hint="eastAsia"/>
          <w:sz w:val="28"/>
          <w:szCs w:val="28"/>
          <w:lang w:eastAsia="zh-CN"/>
        </w:rPr>
        <w:t>质量</w:t>
      </w:r>
      <w:r>
        <w:rPr>
          <w:rFonts w:hint="eastAsia"/>
          <w:sz w:val="28"/>
          <w:szCs w:val="28"/>
        </w:rPr>
        <w:t>标准</w:t>
      </w:r>
      <w:r>
        <w:rPr>
          <w:rFonts w:hint="eastAsia"/>
          <w:sz w:val="28"/>
          <w:szCs w:val="28"/>
          <w:lang w:eastAsia="zh-CN"/>
        </w:rPr>
        <w:t>：钢包合成渣</w:t>
      </w:r>
      <w:r>
        <w:rPr>
          <w:rFonts w:hint="eastAsia"/>
          <w:sz w:val="28"/>
          <w:szCs w:val="28"/>
        </w:rPr>
        <w:t>到达</w:t>
      </w:r>
      <w:r>
        <w:rPr>
          <w:rFonts w:hint="eastAsia"/>
          <w:sz w:val="28"/>
          <w:szCs w:val="28"/>
          <w:lang w:eastAsia="zh-CN"/>
        </w:rPr>
        <w:t>现场后，现场按照周期进行取样检测，现场岗位人员对粒度进行验收。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7.评价标准：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（1）</w:t>
      </w:r>
      <w:r>
        <w:rPr>
          <w:rFonts w:hint="eastAsia"/>
          <w:sz w:val="28"/>
          <w:szCs w:val="28"/>
        </w:rPr>
        <w:t>脱硫率≥23%</w:t>
      </w:r>
      <w:r>
        <w:rPr>
          <w:rFonts w:hint="eastAsia"/>
          <w:sz w:val="28"/>
          <w:szCs w:val="28"/>
          <w:lang w:eastAsia="zh-CN"/>
        </w:rPr>
        <w:t>，脱硫率是衡量转炉终点钢水</w:t>
      </w:r>
      <w:r>
        <w:rPr>
          <w:rFonts w:hint="eastAsia"/>
          <w:sz w:val="28"/>
          <w:szCs w:val="28"/>
          <w:lang w:val="en-US" w:eastAsia="zh-CN"/>
        </w:rPr>
        <w:t>S含量和进精炼炉钢水S含量的变化指标，计算方法为</w:t>
      </w:r>
      <w:r>
        <w:rPr>
          <w:rFonts w:hint="eastAsia"/>
          <w:sz w:val="28"/>
          <w:szCs w:val="28"/>
        </w:rPr>
        <w:t>脱硫率</w:t>
      </w:r>
      <w:r>
        <w:rPr>
          <w:rFonts w:hint="eastAsia"/>
          <w:sz w:val="28"/>
          <w:szCs w:val="28"/>
          <w:lang w:val="en-US" w:eastAsia="zh-CN"/>
        </w:rPr>
        <w:t>=（钢水终点S含量-钢水进站S）/钢水终点S含量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）成份、粒度、落下强度等指标满足技术要求；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  <w:lang w:eastAsia="zh-CN"/>
        </w:rPr>
        <w:t>）转炉出钢过程加入钢包合成渣后烟气产生量受控，在正常底吹氩控制方法的前提下，可以满足转炉出钢过程观察钢流的要求。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三、使用产品制造要求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钢包合成渣</w:t>
      </w:r>
      <w:r>
        <w:rPr>
          <w:rFonts w:hint="eastAsia"/>
          <w:sz w:val="28"/>
          <w:szCs w:val="28"/>
        </w:rPr>
        <w:t>包装</w:t>
      </w:r>
      <w:r>
        <w:rPr>
          <w:rFonts w:hint="eastAsia"/>
          <w:sz w:val="28"/>
          <w:szCs w:val="28"/>
          <w:lang w:eastAsia="zh-CN"/>
        </w:rPr>
        <w:t>不做特别的要求，满足运输要求后到达炼钢地下料仓，以散料的形式上仓使用，运输过程中做好防雨、防水及苫盖，不得洒料，不得影响环保。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四、甲方责任：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（一）负责</w:t>
      </w:r>
      <w:r>
        <w:rPr>
          <w:rFonts w:hint="eastAsia"/>
          <w:sz w:val="28"/>
          <w:szCs w:val="28"/>
        </w:rPr>
        <w:t>现场</w:t>
      </w:r>
      <w:r>
        <w:rPr>
          <w:rFonts w:hint="eastAsia"/>
          <w:sz w:val="28"/>
          <w:szCs w:val="28"/>
          <w:lang w:eastAsia="zh-CN"/>
        </w:rPr>
        <w:t>钢包合成渣的使用。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（二）负责</w:t>
      </w:r>
      <w:r>
        <w:rPr>
          <w:rFonts w:hint="eastAsia"/>
          <w:sz w:val="28"/>
          <w:szCs w:val="28"/>
        </w:rPr>
        <w:t>对</w:t>
      </w:r>
      <w:r>
        <w:rPr>
          <w:rFonts w:hint="eastAsia"/>
          <w:sz w:val="28"/>
          <w:szCs w:val="28"/>
          <w:lang w:eastAsia="zh-CN"/>
        </w:rPr>
        <w:t>钢包合成渣</w:t>
      </w:r>
      <w:r>
        <w:rPr>
          <w:rFonts w:hint="eastAsia"/>
          <w:sz w:val="28"/>
          <w:szCs w:val="28"/>
        </w:rPr>
        <w:t>进行验收把关</w:t>
      </w:r>
      <w:r>
        <w:rPr>
          <w:rFonts w:hint="eastAsia"/>
          <w:sz w:val="28"/>
          <w:szCs w:val="28"/>
          <w:lang w:eastAsia="zh-CN"/>
        </w:rPr>
        <w:t>，出现钢包合成渣不满足现场使用要求时及时联系乙方整改。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五、乙方责任：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（一）</w:t>
      </w:r>
      <w:r>
        <w:rPr>
          <w:rFonts w:hint="eastAsia"/>
          <w:sz w:val="28"/>
          <w:szCs w:val="28"/>
        </w:rPr>
        <w:t>乙方提供</w:t>
      </w:r>
      <w:r>
        <w:rPr>
          <w:rFonts w:hint="eastAsia"/>
          <w:sz w:val="28"/>
          <w:szCs w:val="28"/>
          <w:lang w:eastAsia="zh-CN"/>
        </w:rPr>
        <w:t>钢包合成渣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按照该协议的要求做好各项指标，做好物料的运输。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（二）</w:t>
      </w:r>
      <w:r>
        <w:rPr>
          <w:rFonts w:hint="eastAsia"/>
          <w:sz w:val="28"/>
          <w:szCs w:val="28"/>
        </w:rPr>
        <w:t>确保</w:t>
      </w:r>
      <w:r>
        <w:rPr>
          <w:rFonts w:hint="eastAsia"/>
          <w:sz w:val="28"/>
          <w:szCs w:val="28"/>
          <w:lang w:eastAsia="zh-CN"/>
        </w:rPr>
        <w:t>钢包合成渣</w:t>
      </w:r>
      <w:r>
        <w:rPr>
          <w:rFonts w:hint="eastAsia"/>
          <w:sz w:val="28"/>
          <w:szCs w:val="28"/>
        </w:rPr>
        <w:t>的成份、</w:t>
      </w:r>
      <w:r>
        <w:rPr>
          <w:rFonts w:hint="eastAsia"/>
          <w:sz w:val="28"/>
          <w:szCs w:val="28"/>
          <w:lang w:eastAsia="zh-CN"/>
        </w:rPr>
        <w:t>粒度、落下强度</w:t>
      </w:r>
      <w:r>
        <w:rPr>
          <w:rFonts w:hint="eastAsia"/>
          <w:sz w:val="28"/>
          <w:szCs w:val="28"/>
        </w:rPr>
        <w:t>等符合要求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（三）</w:t>
      </w:r>
      <w:r>
        <w:rPr>
          <w:rFonts w:hint="eastAsia"/>
          <w:sz w:val="28"/>
          <w:szCs w:val="28"/>
        </w:rPr>
        <w:t>在产品</w:t>
      </w:r>
      <w:r>
        <w:rPr>
          <w:rFonts w:hint="eastAsia"/>
          <w:sz w:val="28"/>
          <w:szCs w:val="28"/>
          <w:lang w:eastAsia="zh-CN"/>
        </w:rPr>
        <w:t>使用</w:t>
      </w:r>
      <w:r>
        <w:rPr>
          <w:rFonts w:hint="eastAsia"/>
          <w:sz w:val="28"/>
          <w:szCs w:val="28"/>
        </w:rPr>
        <w:t>过程中，乙方应该履行的权利、义务：乙方必须按照甲方提供的技术要求制作</w:t>
      </w:r>
      <w:r>
        <w:rPr>
          <w:rFonts w:hint="eastAsia"/>
          <w:sz w:val="28"/>
          <w:szCs w:val="28"/>
          <w:lang w:eastAsia="zh-CN"/>
        </w:rPr>
        <w:t>钢包合成渣</w:t>
      </w:r>
      <w:r>
        <w:rPr>
          <w:rFonts w:hint="eastAsia"/>
          <w:sz w:val="28"/>
          <w:szCs w:val="28"/>
        </w:rPr>
        <w:t>，如果乙方为甲方提供的</w:t>
      </w:r>
      <w:r>
        <w:rPr>
          <w:rFonts w:hint="eastAsia"/>
          <w:sz w:val="28"/>
          <w:szCs w:val="28"/>
          <w:lang w:eastAsia="zh-CN"/>
        </w:rPr>
        <w:t>钢包合成渣</w:t>
      </w:r>
      <w:r>
        <w:rPr>
          <w:rFonts w:hint="eastAsia"/>
          <w:sz w:val="28"/>
          <w:szCs w:val="28"/>
        </w:rPr>
        <w:t>不能正常使用或</w:t>
      </w:r>
      <w:r>
        <w:rPr>
          <w:rFonts w:hint="eastAsia"/>
          <w:sz w:val="28"/>
          <w:szCs w:val="28"/>
          <w:lang w:eastAsia="zh-CN"/>
        </w:rPr>
        <w:t>使用过程</w:t>
      </w:r>
      <w:r>
        <w:rPr>
          <w:rFonts w:hint="eastAsia"/>
          <w:sz w:val="28"/>
          <w:szCs w:val="28"/>
        </w:rPr>
        <w:t>缺陷时，甲方将终止</w:t>
      </w:r>
      <w:r>
        <w:rPr>
          <w:rFonts w:hint="eastAsia"/>
          <w:sz w:val="28"/>
          <w:szCs w:val="28"/>
          <w:lang w:eastAsia="zh-CN"/>
        </w:rPr>
        <w:t>使用</w:t>
      </w:r>
      <w:r>
        <w:rPr>
          <w:rFonts w:hint="eastAsia"/>
          <w:sz w:val="28"/>
          <w:szCs w:val="28"/>
        </w:rPr>
        <w:t>，并通知乙方，乙方须在3个工作日内到甲方确认处理。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（四）</w:t>
      </w:r>
      <w:r>
        <w:rPr>
          <w:rFonts w:hint="eastAsia"/>
          <w:sz w:val="28"/>
          <w:szCs w:val="28"/>
        </w:rPr>
        <w:t>乙方严格按照甲方提供的技术要求制作</w:t>
      </w:r>
      <w:r>
        <w:rPr>
          <w:rFonts w:hint="eastAsia"/>
          <w:sz w:val="28"/>
          <w:szCs w:val="28"/>
          <w:lang w:eastAsia="zh-CN"/>
        </w:rPr>
        <w:t>钢包合成渣</w:t>
      </w:r>
      <w:r>
        <w:rPr>
          <w:rFonts w:hint="eastAsia"/>
          <w:sz w:val="28"/>
          <w:szCs w:val="28"/>
        </w:rPr>
        <w:t>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六、违约责任追究：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（一）</w:t>
      </w:r>
      <w:r>
        <w:rPr>
          <w:rFonts w:hint="eastAsia"/>
          <w:sz w:val="28"/>
          <w:szCs w:val="28"/>
        </w:rPr>
        <w:t>乙方提供的</w:t>
      </w:r>
      <w:r>
        <w:rPr>
          <w:rFonts w:hint="eastAsia"/>
          <w:sz w:val="28"/>
          <w:szCs w:val="28"/>
          <w:lang w:eastAsia="zh-CN"/>
        </w:rPr>
        <w:t>钢包合成渣</w:t>
      </w:r>
      <w:r>
        <w:rPr>
          <w:rFonts w:hint="eastAsia"/>
          <w:sz w:val="28"/>
          <w:szCs w:val="28"/>
        </w:rPr>
        <w:t>若不能够满足甲方要求或检测成份未达到技术要求，停止</w:t>
      </w:r>
      <w:r>
        <w:rPr>
          <w:rFonts w:hint="eastAsia"/>
          <w:sz w:val="28"/>
          <w:szCs w:val="28"/>
          <w:lang w:eastAsia="zh-CN"/>
        </w:rPr>
        <w:t>使用并由甲方提出质量异议，进行扣款或者索赔。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（二）</w:t>
      </w:r>
      <w:r>
        <w:rPr>
          <w:rFonts w:hint="eastAsia"/>
          <w:sz w:val="28"/>
          <w:szCs w:val="28"/>
        </w:rPr>
        <w:t>乙方提供的</w:t>
      </w:r>
      <w:r>
        <w:rPr>
          <w:rFonts w:hint="eastAsia"/>
          <w:sz w:val="28"/>
          <w:szCs w:val="28"/>
          <w:lang w:eastAsia="zh-CN"/>
        </w:rPr>
        <w:t>钢包合成渣</w:t>
      </w:r>
      <w:r>
        <w:rPr>
          <w:rFonts w:hint="eastAsia"/>
          <w:sz w:val="28"/>
          <w:szCs w:val="28"/>
        </w:rPr>
        <w:t>由于乙方原因，导致甲方发生各类质量、安全、设备事故的，乙方负责赔偿甲方各类损失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（三）</w:t>
      </w:r>
      <w:r>
        <w:rPr>
          <w:rFonts w:hint="eastAsia"/>
          <w:sz w:val="28"/>
          <w:szCs w:val="28"/>
        </w:rPr>
        <w:t>验收标准、方法及提出异议期限：乙方提供的物料必须符合甲方提供技术要求，如存在验收不达标，乙方须在3个工作日内到甲方现场确认，商议解决处理办法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（四）</w:t>
      </w:r>
      <w:r>
        <w:rPr>
          <w:rFonts w:hint="eastAsia"/>
          <w:sz w:val="28"/>
          <w:szCs w:val="28"/>
        </w:rPr>
        <w:t>解决合同纠纷的方式：本协议在履行过程中发生争议，甲乙双方协商解决。协商不成，甲乙双方同意向嘉峪关市人民法院起诉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（五）</w:t>
      </w:r>
      <w:r>
        <w:rPr>
          <w:rFonts w:hint="eastAsia"/>
          <w:sz w:val="28"/>
          <w:szCs w:val="28"/>
        </w:rPr>
        <w:t>其他约定事项：本协议在甲方相关部门审批</w:t>
      </w:r>
      <w:r>
        <w:rPr>
          <w:rFonts w:hint="eastAsia"/>
          <w:sz w:val="28"/>
          <w:szCs w:val="28"/>
          <w:lang w:eastAsia="zh-CN"/>
        </w:rPr>
        <w:t>使用</w:t>
      </w:r>
      <w:r>
        <w:rPr>
          <w:rFonts w:hint="eastAsia"/>
          <w:sz w:val="28"/>
          <w:szCs w:val="28"/>
        </w:rPr>
        <w:t>协议审批表后，甲乙双方授权代表签字之日起。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七、</w:t>
      </w:r>
      <w:r>
        <w:rPr>
          <w:rFonts w:hint="eastAsia"/>
          <w:sz w:val="28"/>
          <w:szCs w:val="28"/>
        </w:rPr>
        <w:t>其他约定事项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未尽事宜由双方协商解决。</w:t>
      </w:r>
    </w:p>
    <w:p>
      <w:pPr>
        <w:spacing w:line="360" w:lineRule="auto"/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cs="Times New Roman"/>
          <w:kern w:val="2"/>
          <w:sz w:val="28"/>
          <w:szCs w:val="28"/>
          <w:lang w:val="en-US" w:eastAsia="zh-CN" w:bidi="ar-SA"/>
        </w:rPr>
        <w:t>八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>、其他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 xml:space="preserve">   本</w:t>
      </w:r>
      <w:r>
        <w:rPr>
          <w:rFonts w:hint="eastAsia" w:cs="Times New Roman"/>
          <w:kern w:val="2"/>
          <w:sz w:val="28"/>
          <w:szCs w:val="28"/>
          <w:lang w:val="en-US" w:eastAsia="zh-CN" w:bidi="ar-SA"/>
        </w:rPr>
        <w:t>技术规格书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>一式</w:t>
      </w:r>
      <w:r>
        <w:rPr>
          <w:rFonts w:hint="eastAsia" w:cs="Times New Roman"/>
          <w:kern w:val="2"/>
          <w:sz w:val="28"/>
          <w:szCs w:val="28"/>
          <w:lang w:val="en-US" w:eastAsia="zh-CN" w:bidi="ar-SA"/>
        </w:rPr>
        <w:t>两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>份，甲乙</w:t>
      </w:r>
      <w:r>
        <w:rPr>
          <w:rFonts w:hint="eastAsia" w:cs="Times New Roman"/>
          <w:kern w:val="2"/>
          <w:sz w:val="28"/>
          <w:szCs w:val="28"/>
          <w:lang w:val="en-US" w:eastAsia="zh-CN" w:bidi="ar-SA"/>
        </w:rPr>
        <w:t>双方各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>一份。</w:t>
      </w:r>
    </w:p>
    <w:p>
      <w:pPr>
        <w:jc w:val="both"/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</w:pPr>
    </w:p>
    <w:p>
      <w:pPr>
        <w:jc w:val="both"/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</w:pPr>
    </w:p>
    <w:p>
      <w:pPr>
        <w:jc w:val="both"/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 xml:space="preserve">甲方：甘肃酒钢集团宏兴钢铁股份有限公司                 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 xml:space="preserve">代表：                               </w:t>
      </w:r>
    </w:p>
    <w:p>
      <w:pPr>
        <w:spacing w:line="360" w:lineRule="auto"/>
        <w:ind w:firstLine="5040" w:firstLineChars="1800"/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 xml:space="preserve">（签字盖章）  </w:t>
      </w:r>
    </w:p>
    <w:p>
      <w:pPr>
        <w:spacing w:line="360" w:lineRule="auto"/>
        <w:ind w:firstLine="4760" w:firstLineChars="1700"/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 xml:space="preserve">年    月    日  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pPr>
    </w:p>
    <w:p>
      <w:pPr>
        <w:spacing w:line="360" w:lineRule="auto"/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>乙方：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>代表：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 xml:space="preserve">                                   （签字盖章）  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 xml:space="preserve">                                  年    月    日</w:t>
      </w:r>
    </w:p>
    <w:p>
      <w:pPr>
        <w:spacing w:line="360" w:lineRule="auto"/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1NzU0ZmRhY2I2YTE3MzI3MzRhM2Y3YTE5YjQ4N2YifQ=="/>
  </w:docVars>
  <w:rsids>
    <w:rsidRoot w:val="00000000"/>
    <w:rsid w:val="024C160D"/>
    <w:rsid w:val="0628260D"/>
    <w:rsid w:val="08136D59"/>
    <w:rsid w:val="11150E46"/>
    <w:rsid w:val="1890141E"/>
    <w:rsid w:val="1CE05B83"/>
    <w:rsid w:val="20405B79"/>
    <w:rsid w:val="2222474E"/>
    <w:rsid w:val="236C5DD0"/>
    <w:rsid w:val="24C1388B"/>
    <w:rsid w:val="25515AA7"/>
    <w:rsid w:val="285759D3"/>
    <w:rsid w:val="28B453AA"/>
    <w:rsid w:val="28D03E5F"/>
    <w:rsid w:val="2BE14D68"/>
    <w:rsid w:val="2F3902EA"/>
    <w:rsid w:val="310A7EC4"/>
    <w:rsid w:val="3290041F"/>
    <w:rsid w:val="3948412B"/>
    <w:rsid w:val="453579B3"/>
    <w:rsid w:val="49A24352"/>
    <w:rsid w:val="4A2C33C5"/>
    <w:rsid w:val="4DAD60A1"/>
    <w:rsid w:val="506636A4"/>
    <w:rsid w:val="506C62B6"/>
    <w:rsid w:val="5276225A"/>
    <w:rsid w:val="54DE588C"/>
    <w:rsid w:val="55FB1352"/>
    <w:rsid w:val="584312F9"/>
    <w:rsid w:val="59C96979"/>
    <w:rsid w:val="5A020E4F"/>
    <w:rsid w:val="5B314469"/>
    <w:rsid w:val="66306B2D"/>
    <w:rsid w:val="691062C2"/>
    <w:rsid w:val="6E163738"/>
    <w:rsid w:val="6EDD18F0"/>
    <w:rsid w:val="70EA65E0"/>
    <w:rsid w:val="712609C5"/>
    <w:rsid w:val="735F2CED"/>
    <w:rsid w:val="74EF4B56"/>
    <w:rsid w:val="7AAC63C8"/>
    <w:rsid w:val="7C5D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napToGrid w:val="0"/>
      <w:spacing w:line="300" w:lineRule="auto"/>
      <w:ind w:firstLine="556"/>
    </w:pPr>
    <w:rPr>
      <w:rFonts w:ascii="仿宋_GB2312" w:hAnsi="Times New Roman" w:eastAsia="仿宋_GB2312"/>
      <w:kern w:val="0"/>
      <w:szCs w:val="20"/>
    </w:rPr>
  </w:style>
  <w:style w:type="paragraph" w:styleId="3">
    <w:name w:val="Body Text Indent 2"/>
    <w:basedOn w:val="1"/>
    <w:qFormat/>
    <w:uiPriority w:val="0"/>
    <w:pPr>
      <w:widowControl/>
      <w:spacing w:after="120" w:line="480" w:lineRule="auto"/>
      <w:ind w:left="420" w:leftChars="200"/>
      <w:jc w:val="left"/>
    </w:pPr>
    <w:rPr>
      <w:kern w:val="0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张庸碌</cp:lastModifiedBy>
  <dcterms:modified xsi:type="dcterms:W3CDTF">2024-04-10T08:39:16Z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  <property fmtid="{D5CDD505-2E9C-101B-9397-08002B2CF9AE}" pid="3" name="ICV">
    <vt:lpwstr>2F7467EFE0C649F0A32E0F3F3DBF4DFA</vt:lpwstr>
  </property>
</Properties>
</file>